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2640" w14:textId="77777777" w:rsidR="00321FEB" w:rsidRPr="00837D39" w:rsidRDefault="00321FEB" w:rsidP="00321FEB">
      <w:pPr>
        <w:pStyle w:val="Centered"/>
      </w:pPr>
    </w:p>
    <w:p w14:paraId="30BA381F" w14:textId="59A07EFC" w:rsidR="00321FEB" w:rsidRDefault="00321FEB" w:rsidP="00321FEB">
      <w:pPr>
        <w:spacing w:before="480" w:after="360"/>
        <w:jc w:val="center"/>
        <w:rPr>
          <w:rFonts w:asciiTheme="minorHAnsi" w:hAnsiTheme="minorHAnsi" w:cstheme="minorHAnsi"/>
          <w:b/>
          <w:bCs/>
          <w:sz w:val="24"/>
        </w:rPr>
      </w:pPr>
      <w:r>
        <w:rPr>
          <w:noProof/>
        </w:rPr>
        <w:drawing>
          <wp:inline distT="0" distB="0" distL="0" distR="0" wp14:anchorId="4B2C5F62" wp14:editId="11277E0B">
            <wp:extent cx="1901025" cy="557276"/>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lico Metals - Crunchbase Company Profile &amp; Funding"/>
                    <pic:cNvPicPr>
                      <a:picLocks noChangeAspect="1" noChangeArrowheads="1"/>
                    </pic:cNvPicPr>
                  </pic:nvPicPr>
                  <pic:blipFill rotWithShape="1">
                    <a:blip r:embed="rId8">
                      <a:extLst>
                        <a:ext uri="{28A0092B-C50C-407E-A947-70E740481C1C}">
                          <a14:useLocalDpi xmlns:a14="http://schemas.microsoft.com/office/drawing/2010/main" val="0"/>
                        </a:ext>
                      </a:extLst>
                    </a:blip>
                    <a:srcRect t="34151" b="36534"/>
                    <a:stretch/>
                  </pic:blipFill>
                  <pic:spPr bwMode="auto">
                    <a:xfrm>
                      <a:off x="0" y="0"/>
                      <a:ext cx="1901825" cy="557511"/>
                    </a:xfrm>
                    <a:prstGeom prst="rect">
                      <a:avLst/>
                    </a:prstGeom>
                    <a:noFill/>
                    <a:ln>
                      <a:noFill/>
                    </a:ln>
                    <a:extLst>
                      <a:ext uri="{53640926-AAD7-44D8-BBD7-CCE9431645EC}">
                        <a14:shadowObscured xmlns:a14="http://schemas.microsoft.com/office/drawing/2010/main"/>
                      </a:ext>
                    </a:extLst>
                  </pic:spPr>
                </pic:pic>
              </a:graphicData>
            </a:graphic>
          </wp:inline>
        </w:drawing>
      </w:r>
    </w:p>
    <w:p w14:paraId="7307D30D" w14:textId="57709E70" w:rsidR="00321FEB" w:rsidRPr="005813DC" w:rsidRDefault="00321FEB" w:rsidP="00321FEB">
      <w:pPr>
        <w:spacing w:before="480" w:after="360"/>
        <w:jc w:val="center"/>
        <w:rPr>
          <w:rFonts w:cs="Times New Roman"/>
          <w:b/>
          <w:bCs/>
          <w:szCs w:val="22"/>
        </w:rPr>
      </w:pPr>
      <w:r w:rsidRPr="005813DC">
        <w:rPr>
          <w:rFonts w:cs="Times New Roman"/>
          <w:b/>
          <w:bCs/>
          <w:szCs w:val="22"/>
        </w:rPr>
        <w:t xml:space="preserve">CULICO METALS INC. </w:t>
      </w:r>
      <w:r w:rsidR="00973833">
        <w:rPr>
          <w:rFonts w:cs="Times New Roman"/>
          <w:b/>
          <w:bCs/>
          <w:szCs w:val="22"/>
        </w:rPr>
        <w:t xml:space="preserve">COMPLETES </w:t>
      </w:r>
      <w:r w:rsidR="000E334D">
        <w:rPr>
          <w:rFonts w:cs="Times New Roman"/>
          <w:b/>
          <w:bCs/>
          <w:szCs w:val="22"/>
        </w:rPr>
        <w:t xml:space="preserve">STRATEGIC </w:t>
      </w:r>
      <w:r w:rsidR="003C7472">
        <w:rPr>
          <w:rFonts w:cs="Times New Roman"/>
          <w:b/>
          <w:bCs/>
          <w:szCs w:val="22"/>
        </w:rPr>
        <w:t xml:space="preserve">COPPER </w:t>
      </w:r>
      <w:r w:rsidR="00973833">
        <w:rPr>
          <w:rFonts w:cs="Times New Roman"/>
          <w:b/>
          <w:bCs/>
          <w:szCs w:val="22"/>
        </w:rPr>
        <w:t xml:space="preserve">INVESTMENT INTO </w:t>
      </w:r>
      <w:r w:rsidR="00973833">
        <w:rPr>
          <w:rFonts w:cs="Times New Roman"/>
          <w:b/>
          <w:bCs/>
          <w:szCs w:val="22"/>
        </w:rPr>
        <w:br/>
      </w:r>
      <w:r w:rsidR="00D12367">
        <w:rPr>
          <w:rFonts w:cs="Times New Roman"/>
          <w:b/>
          <w:bCs/>
          <w:szCs w:val="22"/>
        </w:rPr>
        <w:t>KHARROUBA COPPER COMPANY INC.</w:t>
      </w:r>
    </w:p>
    <w:p w14:paraId="7A4C380D" w14:textId="4792B3C9" w:rsidR="00321FEB" w:rsidRDefault="00321FEB" w:rsidP="00973833">
      <w:pPr>
        <w:spacing w:before="120" w:after="120"/>
        <w:rPr>
          <w:rFonts w:cs="Times New Roman"/>
          <w:szCs w:val="22"/>
        </w:rPr>
      </w:pPr>
      <w:r w:rsidRPr="00CB637B">
        <w:rPr>
          <w:rFonts w:cs="Times New Roman"/>
          <w:b/>
          <w:szCs w:val="22"/>
        </w:rPr>
        <w:t xml:space="preserve">TORONTO, Ontario </w:t>
      </w:r>
      <w:r w:rsidRPr="00CB637B">
        <w:rPr>
          <w:rFonts w:cs="Times New Roman"/>
          <w:szCs w:val="22"/>
        </w:rPr>
        <w:t>– (</w:t>
      </w:r>
      <w:r w:rsidR="00D12367">
        <w:rPr>
          <w:rFonts w:cs="Times New Roman"/>
          <w:szCs w:val="22"/>
        </w:rPr>
        <w:t xml:space="preserve">April </w:t>
      </w:r>
      <w:r w:rsidR="00662D10" w:rsidRPr="00F46EFF">
        <w:rPr>
          <w:rFonts w:cs="Times New Roman"/>
          <w:szCs w:val="22"/>
        </w:rPr>
        <w:t>24</w:t>
      </w:r>
      <w:r w:rsidR="00D12367">
        <w:rPr>
          <w:rFonts w:cs="Times New Roman"/>
          <w:szCs w:val="22"/>
        </w:rPr>
        <w:t>, 2025</w:t>
      </w:r>
      <w:r w:rsidRPr="00CB637B">
        <w:rPr>
          <w:rFonts w:cs="Times New Roman"/>
          <w:szCs w:val="22"/>
        </w:rPr>
        <w:t xml:space="preserve">) </w:t>
      </w:r>
      <w:proofErr w:type="spellStart"/>
      <w:r w:rsidRPr="00CB637B">
        <w:rPr>
          <w:rFonts w:cs="Times New Roman"/>
          <w:szCs w:val="22"/>
        </w:rPr>
        <w:t>Culico</w:t>
      </w:r>
      <w:proofErr w:type="spellEnd"/>
      <w:r w:rsidRPr="00CB637B">
        <w:rPr>
          <w:rFonts w:cs="Times New Roman"/>
          <w:szCs w:val="22"/>
        </w:rPr>
        <w:t xml:space="preserve"> Metals Inc. (TSXV: CLCO) ("</w:t>
      </w:r>
      <w:proofErr w:type="spellStart"/>
      <w:r w:rsidRPr="00CB637B">
        <w:rPr>
          <w:rFonts w:cs="Times New Roman"/>
          <w:b/>
          <w:bCs/>
          <w:szCs w:val="22"/>
        </w:rPr>
        <w:t>Culico</w:t>
      </w:r>
      <w:proofErr w:type="spellEnd"/>
      <w:r w:rsidRPr="00CB637B">
        <w:rPr>
          <w:rFonts w:cs="Times New Roman"/>
          <w:szCs w:val="22"/>
        </w:rPr>
        <w:t>", or the "</w:t>
      </w:r>
      <w:r w:rsidRPr="00CB637B">
        <w:rPr>
          <w:rFonts w:cs="Times New Roman"/>
          <w:b/>
          <w:bCs/>
          <w:szCs w:val="22"/>
        </w:rPr>
        <w:t>Corporation</w:t>
      </w:r>
      <w:r w:rsidRPr="00CB637B">
        <w:rPr>
          <w:rFonts w:cs="Times New Roman"/>
          <w:szCs w:val="22"/>
        </w:rPr>
        <w:t xml:space="preserve">"), a TSXV Sandbox issuer, is pleased to announce </w:t>
      </w:r>
      <w:bookmarkStart w:id="0" w:name="_Hlk176439005"/>
      <w:r w:rsidR="00973833">
        <w:rPr>
          <w:rFonts w:cs="Times New Roman"/>
          <w:szCs w:val="22"/>
        </w:rPr>
        <w:t xml:space="preserve">an equity investment of </w:t>
      </w:r>
      <w:r w:rsidR="00E8375D">
        <w:rPr>
          <w:rFonts w:cs="Times New Roman"/>
          <w:szCs w:val="22"/>
        </w:rPr>
        <w:t>US</w:t>
      </w:r>
      <w:r w:rsidR="00973833">
        <w:rPr>
          <w:rFonts w:cs="Times New Roman"/>
          <w:szCs w:val="22"/>
        </w:rPr>
        <w:t>$</w:t>
      </w:r>
      <w:r w:rsidR="00E8375D">
        <w:rPr>
          <w:rFonts w:cs="Times New Roman"/>
          <w:szCs w:val="22"/>
        </w:rPr>
        <w:t>3</w:t>
      </w:r>
      <w:r w:rsidR="00973833">
        <w:rPr>
          <w:rFonts w:cs="Times New Roman"/>
          <w:szCs w:val="22"/>
        </w:rPr>
        <w:t xml:space="preserve">,000,000 </w:t>
      </w:r>
      <w:r w:rsidR="002D7D6E">
        <w:rPr>
          <w:rFonts w:cs="Times New Roman"/>
          <w:szCs w:val="22"/>
        </w:rPr>
        <w:t>(the "</w:t>
      </w:r>
      <w:r w:rsidR="002D7D6E" w:rsidRPr="002D7D6E">
        <w:rPr>
          <w:rFonts w:cs="Times New Roman"/>
          <w:b/>
          <w:bCs/>
          <w:szCs w:val="22"/>
        </w:rPr>
        <w:t>Investment</w:t>
      </w:r>
      <w:r w:rsidR="002D7D6E">
        <w:rPr>
          <w:rFonts w:cs="Times New Roman"/>
          <w:szCs w:val="22"/>
        </w:rPr>
        <w:t xml:space="preserve">") </w:t>
      </w:r>
      <w:r w:rsidR="00973833">
        <w:rPr>
          <w:rFonts w:cs="Times New Roman"/>
          <w:szCs w:val="22"/>
        </w:rPr>
        <w:t xml:space="preserve">into </w:t>
      </w:r>
      <w:proofErr w:type="spellStart"/>
      <w:r w:rsidR="00E8375D">
        <w:rPr>
          <w:rFonts w:cs="Times New Roman"/>
          <w:szCs w:val="22"/>
        </w:rPr>
        <w:t>Kharrouba</w:t>
      </w:r>
      <w:proofErr w:type="spellEnd"/>
      <w:r w:rsidR="00E8375D">
        <w:rPr>
          <w:rFonts w:cs="Times New Roman"/>
          <w:szCs w:val="22"/>
        </w:rPr>
        <w:t xml:space="preserve"> Copper Company Inc.</w:t>
      </w:r>
      <w:r w:rsidR="00973833">
        <w:rPr>
          <w:rFonts w:cs="Times New Roman"/>
          <w:szCs w:val="22"/>
        </w:rPr>
        <w:t xml:space="preserve"> ("</w:t>
      </w:r>
      <w:r w:rsidR="00E8375D">
        <w:rPr>
          <w:rFonts w:cs="Times New Roman"/>
          <w:b/>
          <w:bCs/>
          <w:szCs w:val="22"/>
        </w:rPr>
        <w:t>KCC</w:t>
      </w:r>
      <w:r w:rsidR="00973833">
        <w:rPr>
          <w:rFonts w:cs="Times New Roman"/>
          <w:szCs w:val="22"/>
        </w:rPr>
        <w:t xml:space="preserve">"), </w:t>
      </w:r>
      <w:r w:rsidR="00973833" w:rsidRPr="00973833">
        <w:rPr>
          <w:rFonts w:cs="Times New Roman"/>
          <w:szCs w:val="22"/>
        </w:rPr>
        <w:t xml:space="preserve">a </w:t>
      </w:r>
      <w:r w:rsidR="00E8375D">
        <w:rPr>
          <w:rFonts w:cs="Times New Roman"/>
          <w:szCs w:val="22"/>
        </w:rPr>
        <w:t>private Canadian</w:t>
      </w:r>
      <w:r w:rsidR="00973833" w:rsidRPr="00973833">
        <w:rPr>
          <w:rFonts w:cs="Times New Roman"/>
          <w:szCs w:val="22"/>
        </w:rPr>
        <w:t xml:space="preserve"> </w:t>
      </w:r>
      <w:r w:rsidR="009974CB">
        <w:rPr>
          <w:rFonts w:cs="Times New Roman"/>
          <w:szCs w:val="22"/>
        </w:rPr>
        <w:t>company</w:t>
      </w:r>
      <w:r w:rsidR="009974CB" w:rsidRPr="00973833">
        <w:rPr>
          <w:rFonts w:cs="Times New Roman"/>
          <w:szCs w:val="22"/>
        </w:rPr>
        <w:t xml:space="preserve"> </w:t>
      </w:r>
      <w:r w:rsidR="00973833" w:rsidRPr="00973833">
        <w:rPr>
          <w:rFonts w:cs="Times New Roman"/>
          <w:szCs w:val="22"/>
        </w:rPr>
        <w:t xml:space="preserve">with </w:t>
      </w:r>
      <w:r w:rsidR="00E8375D" w:rsidRPr="00E8375D">
        <w:rPr>
          <w:rFonts w:cs="Times New Roman"/>
          <w:szCs w:val="22"/>
        </w:rPr>
        <w:t>copper mining and processing operations</w:t>
      </w:r>
      <w:r w:rsidR="000E334D">
        <w:rPr>
          <w:rFonts w:cs="Times New Roman"/>
          <w:szCs w:val="22"/>
        </w:rPr>
        <w:t xml:space="preserve"> located near Marrakesh</w:t>
      </w:r>
      <w:r w:rsidR="00E8375D" w:rsidRPr="00E8375D">
        <w:rPr>
          <w:rFonts w:cs="Times New Roman"/>
          <w:szCs w:val="22"/>
        </w:rPr>
        <w:t xml:space="preserve"> in the Kingdom of Morocco</w:t>
      </w:r>
      <w:r>
        <w:rPr>
          <w:rFonts w:cs="Times New Roman"/>
          <w:szCs w:val="22"/>
        </w:rPr>
        <w:t>.</w:t>
      </w:r>
    </w:p>
    <w:bookmarkEnd w:id="0"/>
    <w:p w14:paraId="39E524CF" w14:textId="438AFA75" w:rsidR="00E8375D" w:rsidRDefault="00973833" w:rsidP="00973833">
      <w:pPr>
        <w:spacing w:before="120" w:after="120"/>
        <w:rPr>
          <w:rFonts w:cs="Times New Roman"/>
          <w:szCs w:val="22"/>
          <w:lang w:val="en-CA"/>
        </w:rPr>
      </w:pPr>
      <w:proofErr w:type="spellStart"/>
      <w:r>
        <w:rPr>
          <w:rFonts w:cs="Times New Roman"/>
          <w:szCs w:val="22"/>
          <w:lang w:val="en-CA"/>
        </w:rPr>
        <w:t>Culico</w:t>
      </w:r>
      <w:proofErr w:type="spellEnd"/>
      <w:r>
        <w:rPr>
          <w:rFonts w:cs="Times New Roman"/>
          <w:szCs w:val="22"/>
          <w:lang w:val="en-CA"/>
        </w:rPr>
        <w:t xml:space="preserve"> invested </w:t>
      </w:r>
      <w:r w:rsidR="00E8375D">
        <w:rPr>
          <w:rFonts w:cs="Times New Roman"/>
          <w:szCs w:val="22"/>
          <w:lang w:val="en-CA"/>
        </w:rPr>
        <w:t>US</w:t>
      </w:r>
      <w:r>
        <w:rPr>
          <w:rFonts w:cs="Times New Roman"/>
          <w:szCs w:val="22"/>
          <w:lang w:val="en-CA"/>
        </w:rPr>
        <w:t>$</w:t>
      </w:r>
      <w:r w:rsidR="00E8375D">
        <w:rPr>
          <w:rFonts w:cs="Times New Roman"/>
          <w:szCs w:val="22"/>
          <w:lang w:val="en-CA"/>
        </w:rPr>
        <w:t>3</w:t>
      </w:r>
      <w:r>
        <w:rPr>
          <w:rFonts w:cs="Times New Roman"/>
          <w:szCs w:val="22"/>
          <w:lang w:val="en-CA"/>
        </w:rPr>
        <w:t xml:space="preserve">,000,000 in exchange for </w:t>
      </w:r>
      <w:r w:rsidR="00E8375D">
        <w:rPr>
          <w:rFonts w:cs="Times New Roman"/>
          <w:szCs w:val="22"/>
          <w:lang w:val="en-CA"/>
        </w:rPr>
        <w:t>3</w:t>
      </w:r>
      <w:r>
        <w:rPr>
          <w:rFonts w:cs="Times New Roman"/>
          <w:szCs w:val="22"/>
          <w:lang w:val="en-CA"/>
        </w:rPr>
        <w:t xml:space="preserve">0,000,000 common shares of </w:t>
      </w:r>
      <w:r w:rsidR="00505D8E" w:rsidRPr="00F46EFF">
        <w:rPr>
          <w:rFonts w:cs="Times New Roman"/>
          <w:szCs w:val="22"/>
          <w:lang w:val="en-CA"/>
        </w:rPr>
        <w:t>KCC</w:t>
      </w:r>
      <w:r w:rsidR="00505D8E">
        <w:rPr>
          <w:rFonts w:cs="Times New Roman"/>
          <w:szCs w:val="22"/>
          <w:lang w:val="en-CA"/>
        </w:rPr>
        <w:t xml:space="preserve"> </w:t>
      </w:r>
      <w:r>
        <w:rPr>
          <w:rFonts w:cs="Times New Roman"/>
          <w:szCs w:val="22"/>
          <w:lang w:val="en-CA"/>
        </w:rPr>
        <w:t>(the "</w:t>
      </w:r>
      <w:r w:rsidRPr="00973833">
        <w:rPr>
          <w:rFonts w:cs="Times New Roman"/>
          <w:b/>
          <w:bCs/>
          <w:szCs w:val="22"/>
          <w:lang w:val="en-CA"/>
        </w:rPr>
        <w:t>Purchased Shares</w:t>
      </w:r>
      <w:r>
        <w:rPr>
          <w:rFonts w:cs="Times New Roman"/>
          <w:szCs w:val="22"/>
          <w:lang w:val="en-CA"/>
        </w:rPr>
        <w:t xml:space="preserve">") at a price of </w:t>
      </w:r>
      <w:r w:rsidR="00E8375D">
        <w:rPr>
          <w:rFonts w:cs="Times New Roman"/>
          <w:szCs w:val="22"/>
          <w:lang w:val="en-CA"/>
        </w:rPr>
        <w:t>US</w:t>
      </w:r>
      <w:r>
        <w:rPr>
          <w:rFonts w:cs="Times New Roman"/>
          <w:szCs w:val="22"/>
          <w:lang w:val="en-CA"/>
        </w:rPr>
        <w:t>$0.</w:t>
      </w:r>
      <w:r w:rsidR="00E8375D">
        <w:rPr>
          <w:rFonts w:cs="Times New Roman"/>
          <w:szCs w:val="22"/>
          <w:lang w:val="en-CA"/>
        </w:rPr>
        <w:t>1</w:t>
      </w:r>
      <w:r>
        <w:rPr>
          <w:rFonts w:cs="Times New Roman"/>
          <w:szCs w:val="22"/>
          <w:lang w:val="en-CA"/>
        </w:rPr>
        <w:t>0 per Purchased Share</w:t>
      </w:r>
      <w:r w:rsidR="00E8375D">
        <w:rPr>
          <w:rFonts w:cs="Times New Roman"/>
          <w:szCs w:val="22"/>
          <w:lang w:val="en-CA"/>
        </w:rPr>
        <w:t>, representing approximately</w:t>
      </w:r>
      <w:r w:rsidR="002224C8">
        <w:rPr>
          <w:rFonts w:cs="Times New Roman"/>
          <w:szCs w:val="22"/>
          <w:lang w:val="en-CA"/>
        </w:rPr>
        <w:t xml:space="preserve"> 8%</w:t>
      </w:r>
      <w:r w:rsidR="00E8375D">
        <w:rPr>
          <w:rFonts w:cs="Times New Roman"/>
          <w:szCs w:val="22"/>
          <w:lang w:val="en-CA"/>
        </w:rPr>
        <w:t xml:space="preserve"> of the issued and outstanding common shares of KCC (the "</w:t>
      </w:r>
      <w:r w:rsidR="00E8375D" w:rsidRPr="00E8375D">
        <w:rPr>
          <w:rFonts w:cs="Times New Roman"/>
          <w:b/>
          <w:bCs/>
          <w:szCs w:val="22"/>
          <w:lang w:val="en-CA"/>
        </w:rPr>
        <w:t>KCC Shares</w:t>
      </w:r>
      <w:r w:rsidR="00E8375D">
        <w:rPr>
          <w:rFonts w:cs="Times New Roman"/>
          <w:szCs w:val="22"/>
          <w:lang w:val="en-CA"/>
        </w:rPr>
        <w:t>"). The Corporation was also granted the right to appoint one member to the board of directors of KCC for so long as the Corporation owns 5% or more of the KCC Shares.</w:t>
      </w:r>
      <w:r w:rsidR="00451E26">
        <w:rPr>
          <w:rFonts w:cs="Times New Roman"/>
          <w:szCs w:val="22"/>
          <w:lang w:val="en-CA"/>
        </w:rPr>
        <w:t xml:space="preserve"> </w:t>
      </w:r>
    </w:p>
    <w:p w14:paraId="1B325FC7" w14:textId="726C1122" w:rsidR="00AA293A" w:rsidRDefault="00AA293A" w:rsidP="00973833">
      <w:pPr>
        <w:spacing w:before="120" w:after="120"/>
        <w:rPr>
          <w:szCs w:val="20"/>
          <w:lang w:val="en-CA"/>
        </w:rPr>
      </w:pPr>
      <w:r w:rsidRPr="00534FCA">
        <w:rPr>
          <w:szCs w:val="20"/>
          <w:lang w:val="en-CA"/>
        </w:rPr>
        <w:t xml:space="preserve">The </w:t>
      </w:r>
      <w:r w:rsidR="00973833">
        <w:rPr>
          <w:szCs w:val="20"/>
          <w:lang w:val="en-CA"/>
        </w:rPr>
        <w:t>Purchased</w:t>
      </w:r>
      <w:r w:rsidRPr="00534FCA">
        <w:rPr>
          <w:szCs w:val="20"/>
          <w:lang w:val="en-CA"/>
        </w:rPr>
        <w:t xml:space="preserve"> Shares are subject to a four-month plus one day hold period from the date of issuance</w:t>
      </w:r>
      <w:r w:rsidR="002D7D6E">
        <w:rPr>
          <w:szCs w:val="20"/>
          <w:lang w:val="en-CA"/>
        </w:rPr>
        <w:t>, and the Investment is subject to the final acceptance of the TSX Venture Exchange (the "</w:t>
      </w:r>
      <w:r w:rsidR="002D7D6E" w:rsidRPr="002D7D6E">
        <w:rPr>
          <w:b/>
          <w:bCs/>
          <w:szCs w:val="20"/>
          <w:lang w:val="en-CA"/>
        </w:rPr>
        <w:t>TSXV</w:t>
      </w:r>
      <w:r w:rsidR="002D7D6E">
        <w:rPr>
          <w:szCs w:val="20"/>
          <w:lang w:val="en-CA"/>
        </w:rPr>
        <w:t>")</w:t>
      </w:r>
      <w:r w:rsidRPr="00534FCA">
        <w:rPr>
          <w:szCs w:val="20"/>
          <w:lang w:val="en-CA"/>
        </w:rPr>
        <w:t>.</w:t>
      </w:r>
      <w:r w:rsidR="00534FCA">
        <w:rPr>
          <w:szCs w:val="20"/>
          <w:lang w:val="en-CA"/>
        </w:rPr>
        <w:t xml:space="preserve"> </w:t>
      </w:r>
      <w:r w:rsidR="008016B9">
        <w:rPr>
          <w:szCs w:val="20"/>
          <w:lang w:val="en-CA"/>
        </w:rPr>
        <w:t>The Investment is an arm's length transaction.</w:t>
      </w:r>
    </w:p>
    <w:p w14:paraId="2A5BBBC9" w14:textId="73A1D8DD" w:rsidR="0055793B" w:rsidRPr="00662D10" w:rsidRDefault="0055793B" w:rsidP="00973833">
      <w:pPr>
        <w:spacing w:before="120" w:after="120"/>
        <w:rPr>
          <w:szCs w:val="20"/>
          <w:highlight w:val="yellow"/>
          <w:lang w:val="en-CA"/>
        </w:rPr>
      </w:pPr>
      <w:r w:rsidRPr="00E1392B">
        <w:rPr>
          <w:szCs w:val="20"/>
          <w:lang w:val="en-CA"/>
        </w:rPr>
        <w:t>Scott Hand, KCC’s controlling shareholder</w:t>
      </w:r>
      <w:r w:rsidR="00847724" w:rsidRPr="00E1392B">
        <w:rPr>
          <w:szCs w:val="20"/>
          <w:lang w:val="en-CA"/>
        </w:rPr>
        <w:t xml:space="preserve"> </w:t>
      </w:r>
      <w:r w:rsidR="00281FBC" w:rsidRPr="00E1392B">
        <w:rPr>
          <w:szCs w:val="20"/>
          <w:lang w:val="en-CA"/>
        </w:rPr>
        <w:t>and</w:t>
      </w:r>
      <w:r w:rsidR="00847724" w:rsidRPr="00E1392B">
        <w:rPr>
          <w:szCs w:val="20"/>
          <w:lang w:val="en-CA"/>
        </w:rPr>
        <w:t xml:space="preserve"> Executive Chairman</w:t>
      </w:r>
      <w:r w:rsidRPr="00E1392B">
        <w:rPr>
          <w:szCs w:val="20"/>
          <w:lang w:val="en-CA"/>
        </w:rPr>
        <w:t xml:space="preserve">, commented: </w:t>
      </w:r>
      <w:r w:rsidR="00CB510A" w:rsidRPr="00E1392B">
        <w:rPr>
          <w:szCs w:val="20"/>
          <w:lang w:val="en-CA"/>
        </w:rPr>
        <w:t xml:space="preserve">“I am pleased to welcome </w:t>
      </w:r>
      <w:proofErr w:type="spellStart"/>
      <w:r w:rsidR="00CB510A" w:rsidRPr="00E1392B">
        <w:rPr>
          <w:szCs w:val="20"/>
          <w:lang w:val="en-CA"/>
        </w:rPr>
        <w:t>Culico</w:t>
      </w:r>
      <w:proofErr w:type="spellEnd"/>
      <w:r w:rsidR="00CB510A" w:rsidRPr="00E1392B">
        <w:rPr>
          <w:szCs w:val="20"/>
          <w:lang w:val="en-CA"/>
        </w:rPr>
        <w:t xml:space="preserve"> as a new substantial shareholder of KCC </w:t>
      </w:r>
      <w:r w:rsidR="000E334D">
        <w:rPr>
          <w:szCs w:val="20"/>
          <w:lang w:val="en-CA"/>
        </w:rPr>
        <w:t xml:space="preserve">alongside established and </w:t>
      </w:r>
      <w:r w:rsidR="003C7472">
        <w:rPr>
          <w:szCs w:val="20"/>
          <w:lang w:val="en-CA"/>
        </w:rPr>
        <w:t>well-known</w:t>
      </w:r>
      <w:r w:rsidR="000E334D">
        <w:rPr>
          <w:szCs w:val="20"/>
          <w:lang w:val="en-CA"/>
        </w:rPr>
        <w:t xml:space="preserve"> mining investors </w:t>
      </w:r>
      <w:r w:rsidR="00CB510A" w:rsidRPr="00E1392B">
        <w:rPr>
          <w:szCs w:val="20"/>
          <w:lang w:val="en-CA"/>
        </w:rPr>
        <w:t xml:space="preserve">and look forward to </w:t>
      </w:r>
      <w:r w:rsidR="00847724" w:rsidRPr="00E1392B">
        <w:rPr>
          <w:szCs w:val="20"/>
          <w:lang w:val="en-CA"/>
        </w:rPr>
        <w:t xml:space="preserve">benefitting from </w:t>
      </w:r>
      <w:proofErr w:type="spellStart"/>
      <w:r w:rsidR="00CB510A" w:rsidRPr="00E1392B">
        <w:rPr>
          <w:szCs w:val="20"/>
          <w:lang w:val="en-CA"/>
        </w:rPr>
        <w:t>Culico</w:t>
      </w:r>
      <w:r w:rsidR="00847724" w:rsidRPr="00E1392B">
        <w:rPr>
          <w:szCs w:val="20"/>
          <w:lang w:val="en-CA"/>
        </w:rPr>
        <w:t>’s</w:t>
      </w:r>
      <w:proofErr w:type="spellEnd"/>
      <w:r w:rsidR="00CB510A" w:rsidRPr="00E1392B">
        <w:rPr>
          <w:szCs w:val="20"/>
          <w:lang w:val="en-CA"/>
        </w:rPr>
        <w:t xml:space="preserve"> </w:t>
      </w:r>
      <w:r w:rsidR="00847724" w:rsidRPr="00E1392B">
        <w:rPr>
          <w:szCs w:val="20"/>
          <w:lang w:val="en-CA"/>
        </w:rPr>
        <w:t>insights through participation on the</w:t>
      </w:r>
      <w:r w:rsidR="00CB510A" w:rsidRPr="00E1392B">
        <w:rPr>
          <w:szCs w:val="20"/>
          <w:lang w:val="en-CA"/>
        </w:rPr>
        <w:t xml:space="preserve"> KCC Board. </w:t>
      </w:r>
      <w:proofErr w:type="spellStart"/>
      <w:r w:rsidR="00847724" w:rsidRPr="00E1392B">
        <w:rPr>
          <w:szCs w:val="20"/>
          <w:lang w:val="en-CA"/>
        </w:rPr>
        <w:t>Culico</w:t>
      </w:r>
      <w:proofErr w:type="spellEnd"/>
      <w:r w:rsidR="00847724" w:rsidRPr="00E1392B">
        <w:rPr>
          <w:szCs w:val="20"/>
          <w:lang w:val="en-CA"/>
        </w:rPr>
        <w:t xml:space="preserve"> shares KCC’s confidence in</w:t>
      </w:r>
      <w:r w:rsidR="00CB510A" w:rsidRPr="00E1392B">
        <w:rPr>
          <w:szCs w:val="20"/>
          <w:lang w:val="en-CA"/>
        </w:rPr>
        <w:t xml:space="preserve"> the growth potential </w:t>
      </w:r>
      <w:r w:rsidR="00847724" w:rsidRPr="00E1392B">
        <w:rPr>
          <w:szCs w:val="20"/>
          <w:lang w:val="en-CA"/>
        </w:rPr>
        <w:t>of KCC’s producing copper mine in Morocco and enormous exploration potential for copper and cobalt across our mining concessions.</w:t>
      </w:r>
      <w:r w:rsidR="008F364E" w:rsidRPr="00E1392B">
        <w:rPr>
          <w:szCs w:val="20"/>
          <w:lang w:val="en-CA"/>
        </w:rPr>
        <w:t xml:space="preserve"> I believe KCC is very well positioned to benefit from strong copper demand growth in the coming years.</w:t>
      </w:r>
      <w:r w:rsidR="00847724" w:rsidRPr="00E1392B">
        <w:rPr>
          <w:szCs w:val="20"/>
          <w:lang w:val="en-CA"/>
        </w:rPr>
        <w:t>”</w:t>
      </w:r>
    </w:p>
    <w:p w14:paraId="7777A7D4" w14:textId="50043B5F" w:rsidR="00847724" w:rsidRPr="00973833" w:rsidRDefault="00281FBC" w:rsidP="00973833">
      <w:pPr>
        <w:spacing w:before="120" w:after="120"/>
        <w:rPr>
          <w:rFonts w:cs="Times New Roman"/>
          <w:szCs w:val="22"/>
          <w:lang w:val="en-CA"/>
        </w:rPr>
      </w:pPr>
      <w:r w:rsidRPr="00E1392B">
        <w:rPr>
          <w:rFonts w:cs="Times New Roman"/>
          <w:szCs w:val="22"/>
          <w:lang w:val="en-CA"/>
        </w:rPr>
        <w:t xml:space="preserve">Paul Huet, </w:t>
      </w:r>
      <w:r w:rsidR="007303FE" w:rsidRPr="00E1392B">
        <w:rPr>
          <w:rFonts w:cs="Times New Roman"/>
          <w:szCs w:val="22"/>
          <w:lang w:val="en-CA"/>
        </w:rPr>
        <w:t xml:space="preserve">Chairman of </w:t>
      </w:r>
      <w:proofErr w:type="spellStart"/>
      <w:r w:rsidR="007303FE" w:rsidRPr="00E1392B">
        <w:rPr>
          <w:rFonts w:cs="Times New Roman"/>
          <w:szCs w:val="22"/>
          <w:lang w:val="en-CA"/>
        </w:rPr>
        <w:t>Culico</w:t>
      </w:r>
      <w:proofErr w:type="spellEnd"/>
      <w:r w:rsidR="007303FE" w:rsidRPr="00E1392B">
        <w:rPr>
          <w:rFonts w:cs="Times New Roman"/>
          <w:szCs w:val="22"/>
          <w:lang w:val="en-CA"/>
        </w:rPr>
        <w:t xml:space="preserve"> commented: “The opportunity to make a strategic investment into a </w:t>
      </w:r>
      <w:r w:rsidR="000E334D">
        <w:rPr>
          <w:rFonts w:cs="Times New Roman"/>
          <w:szCs w:val="22"/>
          <w:lang w:val="en-CA"/>
        </w:rPr>
        <w:t>well</w:t>
      </w:r>
      <w:r w:rsidR="003C7472">
        <w:rPr>
          <w:rFonts w:cs="Times New Roman"/>
          <w:szCs w:val="22"/>
          <w:lang w:val="en-CA"/>
        </w:rPr>
        <w:t>-</w:t>
      </w:r>
      <w:r w:rsidR="000E334D">
        <w:rPr>
          <w:rFonts w:cs="Times New Roman"/>
          <w:szCs w:val="22"/>
          <w:lang w:val="en-CA"/>
        </w:rPr>
        <w:t xml:space="preserve">run </w:t>
      </w:r>
      <w:r w:rsidR="003C7472">
        <w:rPr>
          <w:rFonts w:cs="Times New Roman"/>
          <w:szCs w:val="22"/>
          <w:lang w:val="en-CA"/>
        </w:rPr>
        <w:t>tightly</w:t>
      </w:r>
      <w:r w:rsidR="007303FE" w:rsidRPr="00E1392B">
        <w:rPr>
          <w:rFonts w:cs="Times New Roman"/>
          <w:szCs w:val="22"/>
          <w:lang w:val="en-CA"/>
        </w:rPr>
        <w:t xml:space="preserve"> held producing copper operation with </w:t>
      </w:r>
      <w:r w:rsidR="000E334D">
        <w:rPr>
          <w:rFonts w:cs="Times New Roman"/>
          <w:szCs w:val="22"/>
          <w:lang w:val="en-CA"/>
        </w:rPr>
        <w:t xml:space="preserve">very compelling near-surface exploration opportunities aligns with our vision to scale </w:t>
      </w:r>
      <w:proofErr w:type="spellStart"/>
      <w:r w:rsidR="000E334D">
        <w:rPr>
          <w:rFonts w:cs="Times New Roman"/>
          <w:szCs w:val="22"/>
          <w:lang w:val="en-CA"/>
        </w:rPr>
        <w:t>Culico</w:t>
      </w:r>
      <w:proofErr w:type="spellEnd"/>
      <w:r w:rsidR="000E334D">
        <w:rPr>
          <w:rFonts w:cs="Times New Roman"/>
          <w:szCs w:val="22"/>
          <w:lang w:val="en-CA"/>
        </w:rPr>
        <w:t xml:space="preserve"> into a meaningful copper and base metals company. The property in Morocco spans </w:t>
      </w:r>
      <w:r w:rsidR="003C7472">
        <w:rPr>
          <w:rFonts w:cs="Times New Roman"/>
          <w:szCs w:val="22"/>
          <w:lang w:val="en-CA"/>
        </w:rPr>
        <w:t>almost</w:t>
      </w:r>
      <w:r w:rsidR="000E334D">
        <w:rPr>
          <w:rFonts w:cs="Times New Roman"/>
          <w:szCs w:val="22"/>
          <w:lang w:val="en-CA"/>
        </w:rPr>
        <w:t xml:space="preserve"> 3</w:t>
      </w:r>
      <w:r w:rsidR="003C7472">
        <w:rPr>
          <w:rFonts w:cs="Times New Roman"/>
          <w:szCs w:val="22"/>
          <w:lang w:val="en-CA"/>
        </w:rPr>
        <w:t>2</w:t>
      </w:r>
      <w:r w:rsidR="000E334D">
        <w:rPr>
          <w:rFonts w:cs="Times New Roman"/>
          <w:szCs w:val="22"/>
          <w:lang w:val="en-CA"/>
        </w:rPr>
        <w:t>0km</w:t>
      </w:r>
      <w:r w:rsidR="000E334D" w:rsidRPr="00E3328B">
        <w:rPr>
          <w:rFonts w:cs="Times New Roman"/>
          <w:szCs w:val="22"/>
          <w:vertAlign w:val="superscript"/>
          <w:lang w:val="en-CA"/>
        </w:rPr>
        <w:t>2</w:t>
      </w:r>
      <w:r w:rsidR="000E334D">
        <w:rPr>
          <w:rFonts w:cs="Times New Roman"/>
          <w:szCs w:val="22"/>
          <w:lang w:val="en-CA"/>
        </w:rPr>
        <w:t xml:space="preserve"> with numerous outcropping vein swarms along surface that are currently being exploited by </w:t>
      </w:r>
      <w:r w:rsidR="003C7472">
        <w:rPr>
          <w:rFonts w:cs="Times New Roman"/>
          <w:szCs w:val="22"/>
          <w:lang w:val="en-CA"/>
        </w:rPr>
        <w:t xml:space="preserve">shallow </w:t>
      </w:r>
      <w:r w:rsidR="000E334D">
        <w:rPr>
          <w:rFonts w:cs="Times New Roman"/>
          <w:szCs w:val="22"/>
          <w:lang w:val="en-CA"/>
        </w:rPr>
        <w:t xml:space="preserve">underground mining methods. We view the prospectivity of the property as very high and look forward to working with the KCC team to unlock the tremendous near surface exploration potential while generating cash flow from the current operations. Properties such as KCC’s are a rare find in mining friendly jurisdictions and we </w:t>
      </w:r>
      <w:r w:rsidR="003C7472">
        <w:rPr>
          <w:rFonts w:cs="Times New Roman"/>
          <w:szCs w:val="22"/>
          <w:lang w:val="en-CA"/>
        </w:rPr>
        <w:t xml:space="preserve">are encouraged to be part of forming its exploration and operational strategy as key strategic investors. </w:t>
      </w:r>
      <w:r w:rsidR="008F364E" w:rsidRPr="00E1392B">
        <w:rPr>
          <w:rFonts w:cs="Times New Roman"/>
          <w:szCs w:val="22"/>
          <w:lang w:val="en-CA"/>
        </w:rPr>
        <w:t xml:space="preserve">The investment into </w:t>
      </w:r>
      <w:r w:rsidR="00F46EFF" w:rsidRPr="00E1392B">
        <w:rPr>
          <w:rFonts w:cs="Times New Roman"/>
          <w:szCs w:val="22"/>
          <w:lang w:val="en-CA"/>
        </w:rPr>
        <w:t xml:space="preserve">KCC </w:t>
      </w:r>
      <w:r w:rsidR="008F364E" w:rsidRPr="00E1392B">
        <w:rPr>
          <w:rFonts w:cs="Times New Roman"/>
          <w:szCs w:val="22"/>
          <w:lang w:val="en-CA"/>
        </w:rPr>
        <w:t xml:space="preserve">was made after </w:t>
      </w:r>
      <w:r w:rsidR="002224C8" w:rsidRPr="00E1392B">
        <w:rPr>
          <w:rFonts w:cs="Times New Roman"/>
          <w:szCs w:val="22"/>
          <w:lang w:val="en-CA"/>
        </w:rPr>
        <w:t xml:space="preserve">a review of </w:t>
      </w:r>
      <w:r w:rsidR="003C7472">
        <w:rPr>
          <w:rFonts w:cs="Times New Roman"/>
          <w:szCs w:val="22"/>
          <w:lang w:val="en-CA"/>
        </w:rPr>
        <w:t xml:space="preserve">numerous right-sized investment </w:t>
      </w:r>
      <w:r w:rsidR="008F364E" w:rsidRPr="00E1392B">
        <w:rPr>
          <w:rFonts w:cs="Times New Roman"/>
          <w:szCs w:val="22"/>
          <w:lang w:val="en-CA"/>
        </w:rPr>
        <w:t>opportunities</w:t>
      </w:r>
      <w:r w:rsidR="002224C8" w:rsidRPr="00E1392B">
        <w:rPr>
          <w:rFonts w:cs="Times New Roman"/>
          <w:szCs w:val="22"/>
          <w:lang w:val="en-CA"/>
        </w:rPr>
        <w:t xml:space="preserve"> </w:t>
      </w:r>
      <w:r w:rsidR="003C7472">
        <w:rPr>
          <w:rFonts w:cs="Times New Roman"/>
          <w:szCs w:val="22"/>
          <w:lang w:val="en-CA"/>
        </w:rPr>
        <w:t xml:space="preserve">for </w:t>
      </w:r>
      <w:proofErr w:type="spellStart"/>
      <w:r w:rsidR="003C7472">
        <w:rPr>
          <w:rFonts w:cs="Times New Roman"/>
          <w:szCs w:val="22"/>
          <w:lang w:val="en-CA"/>
        </w:rPr>
        <w:t>Culico</w:t>
      </w:r>
      <w:proofErr w:type="spellEnd"/>
      <w:r w:rsidR="003C7472">
        <w:rPr>
          <w:rFonts w:cs="Times New Roman"/>
          <w:szCs w:val="22"/>
          <w:lang w:val="en-CA"/>
        </w:rPr>
        <w:t xml:space="preserve"> </w:t>
      </w:r>
      <w:r w:rsidR="002224C8" w:rsidRPr="00E1392B">
        <w:rPr>
          <w:rFonts w:cs="Times New Roman"/>
          <w:szCs w:val="22"/>
          <w:lang w:val="en-CA"/>
        </w:rPr>
        <w:t>and allows us</w:t>
      </w:r>
      <w:r w:rsidR="008F364E" w:rsidRPr="00E1392B">
        <w:rPr>
          <w:rFonts w:cs="Times New Roman"/>
          <w:szCs w:val="22"/>
          <w:lang w:val="en-CA"/>
        </w:rPr>
        <w:t xml:space="preserve"> to deploy </w:t>
      </w:r>
      <w:r w:rsidR="003C7472">
        <w:rPr>
          <w:rFonts w:cs="Times New Roman"/>
          <w:szCs w:val="22"/>
          <w:lang w:val="en-CA"/>
        </w:rPr>
        <w:t xml:space="preserve">our </w:t>
      </w:r>
      <w:r w:rsidR="008F364E" w:rsidRPr="00E1392B">
        <w:rPr>
          <w:rFonts w:cs="Times New Roman"/>
          <w:szCs w:val="22"/>
          <w:lang w:val="en-CA"/>
        </w:rPr>
        <w:t>investment capital in a manner that has strong potential to create substantial value for our stakeholders.”</w:t>
      </w:r>
      <w:r w:rsidR="008F364E">
        <w:rPr>
          <w:rFonts w:cs="Times New Roman"/>
          <w:szCs w:val="22"/>
          <w:lang w:val="en-CA"/>
        </w:rPr>
        <w:t xml:space="preserve">   </w:t>
      </w:r>
    </w:p>
    <w:p w14:paraId="38C8E613" w14:textId="4D6D3776" w:rsidR="00973833" w:rsidRDefault="002D7D6E" w:rsidP="00321FEB">
      <w:pPr>
        <w:pStyle w:val="BodyText"/>
        <w:rPr>
          <w:sz w:val="22"/>
          <w:szCs w:val="20"/>
          <w:lang w:val="en-CA"/>
        </w:rPr>
      </w:pPr>
      <w:proofErr w:type="spellStart"/>
      <w:r>
        <w:rPr>
          <w:sz w:val="22"/>
          <w:szCs w:val="20"/>
          <w:lang w:val="en-CA"/>
        </w:rPr>
        <w:t>Culico</w:t>
      </w:r>
      <w:proofErr w:type="spellEnd"/>
      <w:r>
        <w:rPr>
          <w:sz w:val="22"/>
          <w:szCs w:val="20"/>
          <w:lang w:val="en-CA"/>
        </w:rPr>
        <w:t xml:space="preserve"> is currently listed pursuant to the TSXV Sandbox, and will remain so until, among other things, </w:t>
      </w:r>
      <w:proofErr w:type="spellStart"/>
      <w:r>
        <w:rPr>
          <w:sz w:val="22"/>
          <w:szCs w:val="20"/>
          <w:lang w:val="en-CA"/>
        </w:rPr>
        <w:t>Culico</w:t>
      </w:r>
      <w:proofErr w:type="spellEnd"/>
      <w:r>
        <w:rPr>
          <w:sz w:val="22"/>
          <w:szCs w:val="20"/>
          <w:lang w:val="en-CA"/>
        </w:rPr>
        <w:t xml:space="preserve"> has deployed at least C$4,663,000.00 to at least two qualifying investments that are satisfactory to the TSXV</w:t>
      </w:r>
      <w:r w:rsidR="00E8375D" w:rsidRPr="00E8375D">
        <w:rPr>
          <w:sz w:val="22"/>
          <w:szCs w:val="20"/>
          <w:lang w:val="en-CA"/>
        </w:rPr>
        <w:t xml:space="preserve"> </w:t>
      </w:r>
      <w:r w:rsidR="00E8375D">
        <w:rPr>
          <w:sz w:val="22"/>
          <w:szCs w:val="20"/>
          <w:lang w:val="en-CA"/>
        </w:rPr>
        <w:t>prior to August 14, 2025</w:t>
      </w:r>
      <w:r>
        <w:rPr>
          <w:sz w:val="22"/>
          <w:szCs w:val="20"/>
          <w:lang w:val="en-CA"/>
        </w:rPr>
        <w:t>. Following the completion of the Investment</w:t>
      </w:r>
      <w:r w:rsidR="00E8375D">
        <w:rPr>
          <w:sz w:val="22"/>
          <w:szCs w:val="20"/>
          <w:lang w:val="en-CA"/>
        </w:rPr>
        <w:t xml:space="preserve"> and its investment in Americas Gold and Silver Corporation in November 2024</w:t>
      </w:r>
      <w:r>
        <w:rPr>
          <w:sz w:val="22"/>
          <w:szCs w:val="20"/>
          <w:lang w:val="en-CA"/>
        </w:rPr>
        <w:t xml:space="preserve">, </w:t>
      </w:r>
      <w:proofErr w:type="spellStart"/>
      <w:r>
        <w:rPr>
          <w:sz w:val="22"/>
          <w:szCs w:val="20"/>
          <w:lang w:val="en-CA"/>
        </w:rPr>
        <w:t>Culico</w:t>
      </w:r>
      <w:proofErr w:type="spellEnd"/>
      <w:r>
        <w:rPr>
          <w:sz w:val="22"/>
          <w:szCs w:val="20"/>
          <w:lang w:val="en-CA"/>
        </w:rPr>
        <w:t xml:space="preserve"> </w:t>
      </w:r>
      <w:r w:rsidR="00E8375D">
        <w:rPr>
          <w:sz w:val="22"/>
          <w:szCs w:val="20"/>
          <w:lang w:val="en-CA"/>
        </w:rPr>
        <w:t>has now</w:t>
      </w:r>
      <w:r w:rsidR="002C6DE5">
        <w:rPr>
          <w:sz w:val="22"/>
          <w:szCs w:val="20"/>
          <w:lang w:val="en-CA"/>
        </w:rPr>
        <w:t xml:space="preserve"> </w:t>
      </w:r>
      <w:r w:rsidR="00E8375D">
        <w:rPr>
          <w:sz w:val="22"/>
          <w:szCs w:val="20"/>
          <w:lang w:val="en-CA"/>
        </w:rPr>
        <w:t>satisfied this condition and has applied to the TSXV for an exit review in respect of its TSXV Sandbox listing</w:t>
      </w:r>
      <w:r w:rsidR="002C6DE5">
        <w:rPr>
          <w:sz w:val="22"/>
          <w:szCs w:val="20"/>
          <w:lang w:val="en-CA"/>
        </w:rPr>
        <w:t xml:space="preserve">. </w:t>
      </w:r>
      <w:r w:rsidR="00973833" w:rsidRPr="00973833">
        <w:rPr>
          <w:sz w:val="22"/>
          <w:szCs w:val="20"/>
          <w:lang w:val="en-CA"/>
        </w:rPr>
        <w:t xml:space="preserve">Investors are advised to read the Corporation's news release dated August 14, </w:t>
      </w:r>
      <w:proofErr w:type="gramStart"/>
      <w:r w:rsidR="00973833" w:rsidRPr="00973833">
        <w:rPr>
          <w:sz w:val="22"/>
          <w:szCs w:val="20"/>
          <w:lang w:val="en-CA"/>
        </w:rPr>
        <w:t>2024</w:t>
      </w:r>
      <w:proofErr w:type="gramEnd"/>
      <w:r w:rsidR="002C6DE5">
        <w:rPr>
          <w:sz w:val="22"/>
          <w:szCs w:val="20"/>
          <w:lang w:val="en-CA"/>
        </w:rPr>
        <w:t xml:space="preserve"> for more information regarding the </w:t>
      </w:r>
      <w:r w:rsidR="002C6DE5" w:rsidRPr="002C6DE5">
        <w:rPr>
          <w:sz w:val="22"/>
          <w:szCs w:val="20"/>
          <w:lang w:val="en-CA"/>
        </w:rPr>
        <w:t xml:space="preserve">waivers granted in connection with the Corporation's listing, details on the listing conditions imposed on the </w:t>
      </w:r>
      <w:r w:rsidR="002C6DE5" w:rsidRPr="002C6DE5">
        <w:rPr>
          <w:sz w:val="22"/>
          <w:szCs w:val="20"/>
          <w:lang w:val="en-CA"/>
        </w:rPr>
        <w:lastRenderedPageBreak/>
        <w:t xml:space="preserve">Corporation, the exit conditions the Corporation must meet </w:t>
      </w:r>
      <w:proofErr w:type="gramStart"/>
      <w:r w:rsidR="002C6DE5" w:rsidRPr="002C6DE5">
        <w:rPr>
          <w:sz w:val="22"/>
          <w:szCs w:val="20"/>
          <w:lang w:val="en-CA"/>
        </w:rPr>
        <w:t>in order to</w:t>
      </w:r>
      <w:proofErr w:type="gramEnd"/>
      <w:r w:rsidR="002C6DE5" w:rsidRPr="002C6DE5">
        <w:rPr>
          <w:sz w:val="22"/>
          <w:szCs w:val="20"/>
          <w:lang w:val="en-CA"/>
        </w:rPr>
        <w:t xml:space="preserve"> exit TSXV Sandbox, and any consequences if the Corporation does not meet these exit conditions</w:t>
      </w:r>
      <w:r w:rsidR="002C6DE5">
        <w:rPr>
          <w:sz w:val="22"/>
          <w:szCs w:val="20"/>
          <w:lang w:val="en-CA"/>
        </w:rPr>
        <w:t>.</w:t>
      </w:r>
    </w:p>
    <w:p w14:paraId="6D1E7C2D" w14:textId="4CC796AA" w:rsidR="008016B9" w:rsidRDefault="00451E26" w:rsidP="00321FEB">
      <w:pPr>
        <w:pStyle w:val="BodyText"/>
        <w:rPr>
          <w:sz w:val="22"/>
          <w:szCs w:val="20"/>
          <w:lang w:val="en-CA"/>
        </w:rPr>
      </w:pPr>
      <w:r w:rsidRPr="006C5B1E">
        <w:rPr>
          <w:sz w:val="22"/>
          <w:szCs w:val="20"/>
          <w:lang w:val="en-CA"/>
        </w:rPr>
        <w:t>The Corporation also announces that Scott Hand, a director of the Corporation and the controlling shareholder of KCC, resigned from the Corporation's Board of Directors (the "</w:t>
      </w:r>
      <w:r w:rsidRPr="006C5B1E">
        <w:rPr>
          <w:b/>
          <w:bCs/>
          <w:sz w:val="22"/>
          <w:szCs w:val="20"/>
          <w:lang w:val="en-CA"/>
        </w:rPr>
        <w:t>Board</w:t>
      </w:r>
      <w:r w:rsidRPr="006C5B1E">
        <w:rPr>
          <w:sz w:val="22"/>
          <w:szCs w:val="20"/>
          <w:lang w:val="en-CA"/>
        </w:rPr>
        <w:t>") on April 10, 2025</w:t>
      </w:r>
      <w:r w:rsidR="006C5B1E" w:rsidRPr="006C5B1E">
        <w:rPr>
          <w:sz w:val="22"/>
          <w:szCs w:val="20"/>
          <w:lang w:val="en-CA"/>
        </w:rPr>
        <w:t>,</w:t>
      </w:r>
      <w:r w:rsidRPr="006C5B1E">
        <w:rPr>
          <w:sz w:val="22"/>
          <w:szCs w:val="20"/>
          <w:lang w:val="en-CA"/>
        </w:rPr>
        <w:t xml:space="preserve"> with immediate effect and prior to the Board's consideration of the Investment</w:t>
      </w:r>
      <w:r w:rsidR="006C5B1E">
        <w:rPr>
          <w:sz w:val="22"/>
          <w:szCs w:val="20"/>
          <w:lang w:val="en-CA"/>
        </w:rPr>
        <w:t>. The Board's deliberations in respect of the Investment</w:t>
      </w:r>
      <w:r w:rsidR="006C5B1E" w:rsidRPr="006C5B1E">
        <w:rPr>
          <w:sz w:val="22"/>
          <w:szCs w:val="20"/>
          <w:lang w:val="en-CA"/>
        </w:rPr>
        <w:t xml:space="preserve"> and </w:t>
      </w:r>
      <w:r w:rsidR="006C5B1E">
        <w:rPr>
          <w:sz w:val="22"/>
          <w:szCs w:val="20"/>
          <w:lang w:val="en-CA"/>
        </w:rPr>
        <w:t>its determination to proceed with the Investment</w:t>
      </w:r>
      <w:r w:rsidR="006C5B1E" w:rsidRPr="006C5B1E">
        <w:rPr>
          <w:sz w:val="22"/>
          <w:szCs w:val="20"/>
          <w:lang w:val="en-CA"/>
        </w:rPr>
        <w:t xml:space="preserve"> were made </w:t>
      </w:r>
      <w:r w:rsidR="006C5B1E">
        <w:rPr>
          <w:sz w:val="22"/>
          <w:szCs w:val="20"/>
          <w:lang w:val="en-CA"/>
        </w:rPr>
        <w:t xml:space="preserve">following Mr. Hand's resignation from the Board and </w:t>
      </w:r>
      <w:r w:rsidR="006C5B1E" w:rsidRPr="006C5B1E">
        <w:rPr>
          <w:sz w:val="22"/>
          <w:szCs w:val="20"/>
          <w:lang w:val="en-CA"/>
        </w:rPr>
        <w:t xml:space="preserve">without </w:t>
      </w:r>
      <w:r w:rsidR="006C5B1E">
        <w:rPr>
          <w:sz w:val="22"/>
          <w:szCs w:val="20"/>
          <w:lang w:val="en-CA"/>
        </w:rPr>
        <w:t>Mr. Hand's</w:t>
      </w:r>
      <w:r w:rsidR="006C5B1E" w:rsidRPr="006C5B1E">
        <w:rPr>
          <w:sz w:val="22"/>
          <w:szCs w:val="20"/>
          <w:lang w:val="en-CA"/>
        </w:rPr>
        <w:t xml:space="preserve"> involvement</w:t>
      </w:r>
      <w:r w:rsidRPr="006C5B1E">
        <w:rPr>
          <w:sz w:val="22"/>
          <w:szCs w:val="20"/>
          <w:lang w:val="en-CA"/>
        </w:rPr>
        <w:t>.</w:t>
      </w:r>
    </w:p>
    <w:p w14:paraId="5D0FC0B6" w14:textId="2A82572F" w:rsidR="00281FBC" w:rsidRPr="00E1392B" w:rsidRDefault="00847724" w:rsidP="00321FEB">
      <w:pPr>
        <w:pStyle w:val="BodyText"/>
        <w:rPr>
          <w:b/>
          <w:bCs/>
          <w:sz w:val="22"/>
          <w:szCs w:val="20"/>
          <w:lang w:val="en-CA"/>
        </w:rPr>
      </w:pPr>
      <w:r w:rsidRPr="00E1392B">
        <w:rPr>
          <w:b/>
          <w:bCs/>
          <w:sz w:val="22"/>
          <w:szCs w:val="20"/>
          <w:lang w:val="en-CA"/>
        </w:rPr>
        <w:t xml:space="preserve">About </w:t>
      </w:r>
      <w:proofErr w:type="spellStart"/>
      <w:r w:rsidR="00281FBC" w:rsidRPr="00E1392B">
        <w:rPr>
          <w:b/>
          <w:bCs/>
          <w:sz w:val="22"/>
          <w:szCs w:val="20"/>
          <w:lang w:val="en-CA"/>
        </w:rPr>
        <w:t>Kharrouba</w:t>
      </w:r>
      <w:proofErr w:type="spellEnd"/>
      <w:r w:rsidR="00281FBC" w:rsidRPr="00E1392B">
        <w:rPr>
          <w:b/>
          <w:bCs/>
          <w:sz w:val="22"/>
          <w:szCs w:val="20"/>
          <w:lang w:val="en-CA"/>
        </w:rPr>
        <w:t xml:space="preserve"> Copper Company Inc.</w:t>
      </w:r>
    </w:p>
    <w:p w14:paraId="62A140E4" w14:textId="58263390" w:rsidR="00662D10" w:rsidRPr="00E1392B" w:rsidRDefault="00662D10" w:rsidP="00662D10">
      <w:pPr>
        <w:pStyle w:val="BodyText"/>
        <w:rPr>
          <w:sz w:val="22"/>
          <w:szCs w:val="20"/>
          <w:lang w:val="en-CA"/>
        </w:rPr>
      </w:pPr>
      <w:r w:rsidRPr="00E1392B">
        <w:rPr>
          <w:sz w:val="22"/>
          <w:szCs w:val="20"/>
          <w:lang w:val="en-CA"/>
        </w:rPr>
        <w:t>KCC is a privately owned copper producer operating the KCC mine, located within an emerging copper mineral belt in the Kingdom of Morocco. The Company is led by Scott M. Hand, former CEO of Inco Ltd (sold to Brazil’s Vale SA for USD $19 billion in 2006), who is also the founder the company and its largest shareholder. Morocco is a proven mining jurisdiction with a favorable tax regime and stable government. The Company has been in production since 2017, producing a high-quality copper concentrate that is currently sold to European customers. The Company plans to scale production through future exploration at its underexplored and highly prospective land package totaling 319 km</w:t>
      </w:r>
      <w:r w:rsidRPr="00E1392B">
        <w:rPr>
          <w:sz w:val="22"/>
          <w:szCs w:val="20"/>
          <w:vertAlign w:val="superscript"/>
          <w:lang w:val="en-CA"/>
        </w:rPr>
        <w:t>2</w:t>
      </w:r>
      <w:r w:rsidRPr="00E1392B">
        <w:rPr>
          <w:sz w:val="22"/>
          <w:szCs w:val="20"/>
          <w:lang w:val="en-CA"/>
        </w:rPr>
        <w:t>.</w:t>
      </w:r>
    </w:p>
    <w:p w14:paraId="047770D6" w14:textId="5F435646" w:rsidR="000C717C" w:rsidRPr="006C5B1E" w:rsidRDefault="00662D10" w:rsidP="00662D10">
      <w:pPr>
        <w:pStyle w:val="BodyText"/>
        <w:rPr>
          <w:sz w:val="22"/>
          <w:szCs w:val="20"/>
          <w:lang w:val="en-CA"/>
        </w:rPr>
      </w:pPr>
      <w:r w:rsidRPr="00E1392B">
        <w:rPr>
          <w:sz w:val="22"/>
          <w:szCs w:val="20"/>
          <w:lang w:val="en-CA"/>
        </w:rPr>
        <w:t>The property hosts multiple kilometers of outcropping exposed veins at surface. Information from surface mapping and underground workings have allowed KCC to target highly prospective areas. Follow up drilling is underway at recent discoveries which have seen no modern exploitation of fully intact outcropping vein systems.</w:t>
      </w:r>
    </w:p>
    <w:p w14:paraId="38842815" w14:textId="3B1027E9" w:rsidR="00321FEB" w:rsidRPr="00CB637B" w:rsidRDefault="00321FEB" w:rsidP="00C605A4">
      <w:pPr>
        <w:pStyle w:val="BodyText"/>
        <w:rPr>
          <w:b/>
          <w:bCs/>
          <w:szCs w:val="22"/>
        </w:rPr>
      </w:pPr>
      <w:r w:rsidRPr="00CB637B">
        <w:rPr>
          <w:b/>
          <w:bCs/>
          <w:szCs w:val="22"/>
        </w:rPr>
        <w:t xml:space="preserve">About </w:t>
      </w:r>
      <w:proofErr w:type="spellStart"/>
      <w:r w:rsidRPr="00CB637B">
        <w:rPr>
          <w:b/>
          <w:bCs/>
          <w:szCs w:val="22"/>
        </w:rPr>
        <w:t>Culico</w:t>
      </w:r>
      <w:proofErr w:type="spellEnd"/>
      <w:r w:rsidRPr="00CB637B">
        <w:rPr>
          <w:b/>
          <w:bCs/>
          <w:szCs w:val="22"/>
        </w:rPr>
        <w:t xml:space="preserve"> Metals Inc. </w:t>
      </w:r>
    </w:p>
    <w:p w14:paraId="41028200" w14:textId="1701257B" w:rsidR="00321FEB" w:rsidRPr="00CB637B" w:rsidRDefault="00321FEB" w:rsidP="00321FEB">
      <w:pPr>
        <w:spacing w:before="120" w:after="120"/>
        <w:rPr>
          <w:rFonts w:cs="Times New Roman"/>
          <w:szCs w:val="22"/>
        </w:rPr>
      </w:pPr>
      <w:proofErr w:type="spellStart"/>
      <w:r w:rsidRPr="00CB637B">
        <w:rPr>
          <w:rFonts w:cs="Times New Roman"/>
          <w:szCs w:val="22"/>
        </w:rPr>
        <w:t>Culico</w:t>
      </w:r>
      <w:proofErr w:type="spellEnd"/>
      <w:r w:rsidRPr="00CB637B">
        <w:rPr>
          <w:rFonts w:cs="Times New Roman"/>
          <w:szCs w:val="22"/>
        </w:rPr>
        <w:t xml:space="preserve"> is a company focused on creating value in the mineral exploration, development and production sector. </w:t>
      </w:r>
      <w:proofErr w:type="spellStart"/>
      <w:r w:rsidRPr="00CB637B">
        <w:rPr>
          <w:rFonts w:cs="Times New Roman"/>
          <w:szCs w:val="22"/>
        </w:rPr>
        <w:t>Culico's</w:t>
      </w:r>
      <w:proofErr w:type="spellEnd"/>
      <w:r w:rsidRPr="00CB637B">
        <w:rPr>
          <w:rFonts w:cs="Times New Roman"/>
          <w:szCs w:val="22"/>
        </w:rPr>
        <w:t xml:space="preserve"> current assets include a 1% lithium royalty on certain mining interests held by Kali Metals Limited (ASX:</w:t>
      </w:r>
      <w:r w:rsidR="00386F27">
        <w:rPr>
          <w:rFonts w:cs="Times New Roman"/>
          <w:szCs w:val="22"/>
        </w:rPr>
        <w:t xml:space="preserve"> </w:t>
      </w:r>
      <w:r w:rsidRPr="00CB637B">
        <w:rPr>
          <w:rFonts w:cs="Times New Roman"/>
          <w:szCs w:val="22"/>
        </w:rPr>
        <w:t>KM1)</w:t>
      </w:r>
      <w:r>
        <w:rPr>
          <w:rFonts w:cs="Times New Roman"/>
          <w:szCs w:val="22"/>
        </w:rPr>
        <w:t xml:space="preserve"> and</w:t>
      </w:r>
      <w:r w:rsidRPr="00CB637B">
        <w:rPr>
          <w:rFonts w:cs="Times New Roman"/>
          <w:szCs w:val="22"/>
        </w:rPr>
        <w:t xml:space="preserve"> the right to receive a deferred consideration payment due to the on-sale of the Dumont project. The Dumont project is a large-scale nickel deposit located 25 km west of the town of Amos in the established Abitibi mining camp in the mining-friendly Canadian province of Québec. </w:t>
      </w:r>
      <w:proofErr w:type="spellStart"/>
      <w:r w:rsidRPr="00CB637B">
        <w:rPr>
          <w:rFonts w:cs="Times New Roman"/>
          <w:szCs w:val="22"/>
        </w:rPr>
        <w:t>Culico</w:t>
      </w:r>
      <w:proofErr w:type="spellEnd"/>
      <w:r w:rsidRPr="00CB637B">
        <w:rPr>
          <w:rFonts w:cs="Times New Roman"/>
          <w:szCs w:val="22"/>
        </w:rPr>
        <w:t xml:space="preserve"> holds an interest in the net proceeds from a future sale or other monetization event involving the Dumont project.</w:t>
      </w:r>
      <w:r w:rsidR="003C7472">
        <w:rPr>
          <w:rFonts w:cs="Times New Roman"/>
          <w:szCs w:val="22"/>
        </w:rPr>
        <w:t xml:space="preserve"> </w:t>
      </w:r>
    </w:p>
    <w:p w14:paraId="184218B6" w14:textId="77777777" w:rsidR="00321FEB" w:rsidRPr="00CB637B" w:rsidRDefault="00321FEB" w:rsidP="00321FEB">
      <w:pPr>
        <w:keepNext/>
        <w:shd w:val="clear" w:color="auto" w:fill="FFFFFF" w:themeFill="background1"/>
        <w:spacing w:before="100" w:beforeAutospacing="1" w:line="276" w:lineRule="auto"/>
        <w:rPr>
          <w:rFonts w:eastAsia="Calibri" w:cs="Times New Roman"/>
          <w:b/>
          <w:bCs/>
          <w:szCs w:val="22"/>
        </w:rPr>
      </w:pPr>
      <w:r w:rsidRPr="00CB637B">
        <w:rPr>
          <w:rFonts w:eastAsia="Calibri" w:cs="Times New Roman"/>
          <w:b/>
          <w:bCs/>
          <w:szCs w:val="22"/>
        </w:rPr>
        <w:t xml:space="preserve">Cautionary </w:t>
      </w:r>
      <w:bookmarkStart w:id="1" w:name="_9kR3WTr26646AXQ3uTOkhtxp0zSVEN7372EIFAE"/>
      <w:r w:rsidRPr="00CB637B">
        <w:rPr>
          <w:rFonts w:eastAsia="Calibri" w:cs="Times New Roman"/>
          <w:b/>
          <w:bCs/>
          <w:szCs w:val="22"/>
        </w:rPr>
        <w:t>Note Regarding Forward-looking Statements</w:t>
      </w:r>
      <w:bookmarkEnd w:id="1"/>
    </w:p>
    <w:p w14:paraId="3ABAC85F" w14:textId="4164B449" w:rsidR="00321FEB" w:rsidRPr="00CB637B" w:rsidRDefault="00321FEB" w:rsidP="00321FEB">
      <w:pPr>
        <w:shd w:val="clear" w:color="auto" w:fill="FFFFFF" w:themeFill="background1"/>
        <w:spacing w:before="100" w:beforeAutospacing="1" w:line="276" w:lineRule="auto"/>
        <w:rPr>
          <w:rFonts w:cs="Times New Roman"/>
          <w:i/>
          <w:iCs/>
          <w:szCs w:val="22"/>
        </w:rPr>
      </w:pPr>
      <w:r w:rsidRPr="00CB637B">
        <w:rPr>
          <w:rFonts w:cs="Times New Roman"/>
          <w:i/>
          <w:iCs/>
          <w:szCs w:val="22"/>
        </w:rPr>
        <w:t>This news release contains certain "</w:t>
      </w:r>
      <w:bookmarkStart w:id="2" w:name="_9kR3WTr23348Cpo1Auqup152x106K349346MS"/>
      <w:r w:rsidRPr="00CB637B">
        <w:rPr>
          <w:rFonts w:cs="Times New Roman"/>
          <w:i/>
          <w:iCs/>
          <w:szCs w:val="22"/>
        </w:rPr>
        <w:t>forward-looking statements</w:t>
      </w:r>
      <w:bookmarkEnd w:id="2"/>
      <w:r w:rsidRPr="00CB637B">
        <w:rPr>
          <w:rFonts w:cs="Times New Roman"/>
          <w:i/>
          <w:iCs/>
          <w:szCs w:val="22"/>
        </w:rPr>
        <w:t xml:space="preserve">" under applicable </w:t>
      </w:r>
      <w:bookmarkStart w:id="3" w:name="_9kR3WTr6954DLQ1jkbkio"/>
      <w:r w:rsidRPr="00CB637B">
        <w:rPr>
          <w:rFonts w:cs="Times New Roman"/>
          <w:i/>
          <w:iCs/>
          <w:szCs w:val="22"/>
        </w:rPr>
        <w:t>Canadian</w:t>
      </w:r>
      <w:bookmarkEnd w:id="3"/>
      <w:r w:rsidRPr="00CB637B">
        <w:rPr>
          <w:rFonts w:cs="Times New Roman"/>
          <w:i/>
          <w:iCs/>
          <w:szCs w:val="22"/>
        </w:rPr>
        <w:t xml:space="preserve"> securities laws concerning the business, operations and financial performance and condition of </w:t>
      </w:r>
      <w:proofErr w:type="spellStart"/>
      <w:r w:rsidRPr="00CB637B">
        <w:rPr>
          <w:rFonts w:cs="Times New Roman"/>
          <w:i/>
          <w:iCs/>
          <w:szCs w:val="22"/>
        </w:rPr>
        <w:t>Culico</w:t>
      </w:r>
      <w:proofErr w:type="spellEnd"/>
      <w:r w:rsidRPr="00CB637B">
        <w:rPr>
          <w:rFonts w:cs="Times New Roman"/>
          <w:i/>
          <w:iCs/>
          <w:szCs w:val="22"/>
        </w:rPr>
        <w:t xml:space="preserve">. Except for statements of historical fact relating to </w:t>
      </w:r>
      <w:proofErr w:type="spellStart"/>
      <w:r w:rsidRPr="00CB637B">
        <w:rPr>
          <w:rFonts w:cs="Times New Roman"/>
          <w:i/>
          <w:iCs/>
          <w:szCs w:val="22"/>
        </w:rPr>
        <w:t>Culico</w:t>
      </w:r>
      <w:proofErr w:type="spellEnd"/>
      <w:r w:rsidRPr="00CB637B">
        <w:rPr>
          <w:rFonts w:cs="Times New Roman"/>
          <w:i/>
          <w:iCs/>
          <w:szCs w:val="22"/>
        </w:rPr>
        <w:t>, all statements included herein are forward-looking statements. The words "</w:t>
      </w:r>
      <w:bookmarkStart w:id="4" w:name="_9kR3WTr23348Dmalqkyz"/>
      <w:r w:rsidRPr="00CB637B">
        <w:rPr>
          <w:rFonts w:cs="Times New Roman"/>
          <w:i/>
          <w:iCs/>
          <w:szCs w:val="22"/>
        </w:rPr>
        <w:t>believe</w:t>
      </w:r>
      <w:bookmarkEnd w:id="4"/>
      <w:r w:rsidRPr="00CB637B">
        <w:rPr>
          <w:rFonts w:cs="Times New Roman"/>
          <w:i/>
          <w:iCs/>
          <w:szCs w:val="22"/>
        </w:rPr>
        <w:t>", "</w:t>
      </w:r>
      <w:bookmarkStart w:id="5" w:name="_9kR3WTr23348Eqw8qeu"/>
      <w:r w:rsidRPr="00CB637B">
        <w:rPr>
          <w:rFonts w:cs="Times New Roman"/>
          <w:i/>
          <w:iCs/>
          <w:szCs w:val="22"/>
        </w:rPr>
        <w:t>expect</w:t>
      </w:r>
      <w:bookmarkEnd w:id="5"/>
      <w:r w:rsidRPr="00CB637B">
        <w:rPr>
          <w:rFonts w:cs="Times New Roman"/>
          <w:i/>
          <w:iCs/>
          <w:szCs w:val="22"/>
        </w:rPr>
        <w:t>", "</w:t>
      </w:r>
      <w:bookmarkStart w:id="6" w:name="_9kR3WTr23348F566orwk5"/>
      <w:r w:rsidRPr="00CB637B">
        <w:rPr>
          <w:rFonts w:cs="Times New Roman"/>
          <w:i/>
          <w:iCs/>
          <w:szCs w:val="22"/>
        </w:rPr>
        <w:t>strategy</w:t>
      </w:r>
      <w:bookmarkEnd w:id="6"/>
      <w:r w:rsidRPr="00CB637B">
        <w:rPr>
          <w:rFonts w:cs="Times New Roman"/>
          <w:i/>
          <w:iCs/>
          <w:szCs w:val="22"/>
        </w:rPr>
        <w:t>", "</w:t>
      </w:r>
      <w:bookmarkStart w:id="7" w:name="_9kR3WTr23348G7onuiw"/>
      <w:r w:rsidRPr="00CB637B">
        <w:rPr>
          <w:rFonts w:cs="Times New Roman"/>
          <w:i/>
          <w:iCs/>
          <w:szCs w:val="22"/>
        </w:rPr>
        <w:t>target</w:t>
      </w:r>
      <w:bookmarkEnd w:id="7"/>
      <w:r w:rsidRPr="00CB637B">
        <w:rPr>
          <w:rFonts w:cs="Times New Roman"/>
          <w:i/>
          <w:iCs/>
          <w:szCs w:val="22"/>
        </w:rPr>
        <w:t>", "</w:t>
      </w:r>
      <w:bookmarkStart w:id="8" w:name="_9kR3WTr23348H4vhk"/>
      <w:r w:rsidRPr="00CB637B">
        <w:rPr>
          <w:rFonts w:cs="Times New Roman"/>
          <w:i/>
          <w:iCs/>
          <w:szCs w:val="22"/>
        </w:rPr>
        <w:t>plan</w:t>
      </w:r>
      <w:bookmarkEnd w:id="8"/>
      <w:r w:rsidRPr="00CB637B">
        <w:rPr>
          <w:rFonts w:cs="Times New Roman"/>
          <w:i/>
          <w:iCs/>
          <w:szCs w:val="22"/>
        </w:rPr>
        <w:t>", "</w:t>
      </w:r>
      <w:bookmarkStart w:id="9" w:name="_9kR3WTr23348I8pfifw5qj"/>
      <w:r w:rsidRPr="00CB637B">
        <w:rPr>
          <w:rFonts w:cs="Times New Roman"/>
          <w:i/>
          <w:iCs/>
          <w:szCs w:val="22"/>
        </w:rPr>
        <w:t>scheduled</w:t>
      </w:r>
      <w:bookmarkEnd w:id="9"/>
      <w:r w:rsidRPr="00CB637B">
        <w:rPr>
          <w:rFonts w:cs="Times New Roman"/>
          <w:i/>
          <w:iCs/>
          <w:szCs w:val="22"/>
        </w:rPr>
        <w:t>", "</w:t>
      </w:r>
      <w:bookmarkStart w:id="10" w:name="_9kR3WTr23349Ajlwvs05rt9"/>
      <w:r w:rsidRPr="00CB637B">
        <w:rPr>
          <w:rFonts w:cs="Times New Roman"/>
          <w:i/>
          <w:iCs/>
          <w:szCs w:val="22"/>
        </w:rPr>
        <w:t>commitment</w:t>
      </w:r>
      <w:bookmarkEnd w:id="10"/>
      <w:r w:rsidRPr="00CB637B">
        <w:rPr>
          <w:rFonts w:cs="Times New Roman"/>
          <w:i/>
          <w:iCs/>
          <w:szCs w:val="22"/>
        </w:rPr>
        <w:t>", "</w:t>
      </w:r>
      <w:bookmarkStart w:id="11" w:name="_9kR3WTr23349Bwy0039D8x45r2"/>
      <w:r w:rsidRPr="00CB637B">
        <w:rPr>
          <w:rFonts w:cs="Times New Roman"/>
          <w:i/>
          <w:iCs/>
          <w:szCs w:val="22"/>
        </w:rPr>
        <w:t>opportunities</w:t>
      </w:r>
      <w:bookmarkEnd w:id="11"/>
      <w:r w:rsidRPr="00CB637B">
        <w:rPr>
          <w:rFonts w:cs="Times New Roman"/>
          <w:i/>
          <w:iCs/>
          <w:szCs w:val="22"/>
        </w:rPr>
        <w:t>", "</w:t>
      </w:r>
      <w:bookmarkStart w:id="12" w:name="_9kR3WTr23349Cpvyibmph"/>
      <w:r w:rsidRPr="00CB637B">
        <w:rPr>
          <w:rFonts w:cs="Times New Roman"/>
          <w:i/>
          <w:iCs/>
          <w:szCs w:val="22"/>
        </w:rPr>
        <w:t>guidance</w:t>
      </w:r>
      <w:bookmarkEnd w:id="12"/>
      <w:r w:rsidRPr="00CB637B">
        <w:rPr>
          <w:rFonts w:cs="Times New Roman"/>
          <w:i/>
          <w:iCs/>
          <w:szCs w:val="22"/>
        </w:rPr>
        <w:t>", "</w:t>
      </w:r>
      <w:bookmarkStart w:id="13" w:name="_9kR3WTr23349Dz11ulfv"/>
      <w:r w:rsidRPr="00CB637B">
        <w:rPr>
          <w:rFonts w:cs="Times New Roman"/>
          <w:i/>
          <w:iCs/>
          <w:szCs w:val="22"/>
        </w:rPr>
        <w:t>project</w:t>
      </w:r>
      <w:bookmarkEnd w:id="13"/>
      <w:r w:rsidRPr="00CB637B">
        <w:rPr>
          <w:rFonts w:cs="Times New Roman"/>
          <w:i/>
          <w:iCs/>
          <w:szCs w:val="22"/>
        </w:rPr>
        <w:t>", "</w:t>
      </w:r>
      <w:bookmarkStart w:id="14" w:name="_9kR3WTr23349Enlx3zu7z"/>
      <w:r w:rsidRPr="00CB637B">
        <w:rPr>
          <w:rFonts w:cs="Times New Roman"/>
          <w:i/>
          <w:iCs/>
          <w:szCs w:val="22"/>
        </w:rPr>
        <w:t>continue</w:t>
      </w:r>
      <w:bookmarkEnd w:id="14"/>
      <w:r w:rsidRPr="00CB637B">
        <w:rPr>
          <w:rFonts w:cs="Times New Roman"/>
          <w:i/>
          <w:iCs/>
          <w:szCs w:val="22"/>
        </w:rPr>
        <w:t xml:space="preserve">", "on </w:t>
      </w:r>
      <w:bookmarkStart w:id="15" w:name="_9kR3WTr23349F55nZk"/>
      <w:r w:rsidRPr="00CB637B">
        <w:rPr>
          <w:rFonts w:cs="Times New Roman"/>
          <w:i/>
          <w:iCs/>
          <w:szCs w:val="22"/>
        </w:rPr>
        <w:t>track</w:t>
      </w:r>
      <w:bookmarkEnd w:id="15"/>
      <w:r w:rsidRPr="00CB637B">
        <w:rPr>
          <w:rFonts w:cs="Times New Roman"/>
          <w:i/>
          <w:iCs/>
          <w:szCs w:val="22"/>
        </w:rPr>
        <w:t>", "</w:t>
      </w:r>
      <w:bookmarkStart w:id="16" w:name="_9kR3WTr23349Grr7yslty"/>
      <w:r w:rsidRPr="00CB637B">
        <w:rPr>
          <w:rFonts w:cs="Times New Roman"/>
          <w:i/>
          <w:iCs/>
          <w:szCs w:val="22"/>
        </w:rPr>
        <w:t>estimate</w:t>
      </w:r>
      <w:bookmarkEnd w:id="16"/>
      <w:r w:rsidRPr="00CB637B">
        <w:rPr>
          <w:rFonts w:cs="Times New Roman"/>
          <w:i/>
          <w:iCs/>
          <w:szCs w:val="22"/>
        </w:rPr>
        <w:t>", "</w:t>
      </w:r>
      <w:bookmarkStart w:id="17" w:name="_9kR3WTr23349Hus17Dz"/>
      <w:r w:rsidRPr="00CB637B">
        <w:rPr>
          <w:rFonts w:cs="Times New Roman"/>
          <w:i/>
          <w:iCs/>
          <w:szCs w:val="22"/>
        </w:rPr>
        <w:t>growth</w:t>
      </w:r>
      <w:bookmarkEnd w:id="17"/>
      <w:r w:rsidRPr="00CB637B">
        <w:rPr>
          <w:rFonts w:cs="Times New Roman"/>
          <w:i/>
          <w:iCs/>
          <w:szCs w:val="22"/>
        </w:rPr>
        <w:t>", "</w:t>
      </w:r>
      <w:bookmarkStart w:id="18" w:name="_9kR3WTr23349Iuo1sebsC"/>
      <w:r w:rsidRPr="00CB637B">
        <w:rPr>
          <w:rFonts w:cs="Times New Roman"/>
          <w:i/>
          <w:iCs/>
          <w:szCs w:val="22"/>
        </w:rPr>
        <w:t>forecast</w:t>
      </w:r>
      <w:bookmarkEnd w:id="18"/>
      <w:r w:rsidRPr="00CB637B">
        <w:rPr>
          <w:rFonts w:cs="Times New Roman"/>
          <w:i/>
          <w:iCs/>
          <w:szCs w:val="22"/>
        </w:rPr>
        <w:t>", "</w:t>
      </w:r>
      <w:bookmarkStart w:id="19" w:name="_9kR3WTr23349J5y3up51jn"/>
      <w:r w:rsidRPr="00CB637B">
        <w:rPr>
          <w:rFonts w:cs="Times New Roman"/>
          <w:i/>
          <w:iCs/>
          <w:szCs w:val="22"/>
        </w:rPr>
        <w:t>potential</w:t>
      </w:r>
      <w:bookmarkEnd w:id="19"/>
      <w:r w:rsidRPr="00CB637B">
        <w:rPr>
          <w:rFonts w:cs="Times New Roman"/>
          <w:i/>
          <w:iCs/>
          <w:szCs w:val="22"/>
        </w:rPr>
        <w:t>", "</w:t>
      </w:r>
      <w:bookmarkStart w:id="20" w:name="_9kR3WTr2334ABmu9A9u"/>
      <w:r w:rsidRPr="00CB637B">
        <w:rPr>
          <w:rFonts w:cs="Times New Roman"/>
          <w:i/>
          <w:iCs/>
          <w:szCs w:val="22"/>
        </w:rPr>
        <w:t>future</w:t>
      </w:r>
      <w:bookmarkEnd w:id="20"/>
      <w:r w:rsidRPr="00CB637B">
        <w:rPr>
          <w:rFonts w:cs="Times New Roman"/>
          <w:i/>
          <w:iCs/>
          <w:szCs w:val="22"/>
        </w:rPr>
        <w:t>", "</w:t>
      </w:r>
      <w:bookmarkStart w:id="21" w:name="_9kR3WTr2334ACmwCupp"/>
      <w:r w:rsidRPr="00CB637B">
        <w:rPr>
          <w:rFonts w:cs="Times New Roman"/>
          <w:i/>
          <w:iCs/>
          <w:szCs w:val="22"/>
        </w:rPr>
        <w:t>extend</w:t>
      </w:r>
      <w:bookmarkEnd w:id="21"/>
      <w:r w:rsidRPr="00CB637B">
        <w:rPr>
          <w:rFonts w:cs="Times New Roman"/>
          <w:i/>
          <w:iCs/>
          <w:szCs w:val="22"/>
        </w:rPr>
        <w:t>", "</w:t>
      </w:r>
      <w:bookmarkStart w:id="22" w:name="_9kR3WTr2334ADyvhkyqh"/>
      <w:r w:rsidRPr="00CB637B">
        <w:rPr>
          <w:rFonts w:cs="Times New Roman"/>
          <w:i/>
          <w:iCs/>
          <w:szCs w:val="22"/>
        </w:rPr>
        <w:t>planned</w:t>
      </w:r>
      <w:bookmarkEnd w:id="22"/>
      <w:r w:rsidRPr="00CB637B">
        <w:rPr>
          <w:rFonts w:cs="Times New Roman"/>
          <w:i/>
          <w:iCs/>
          <w:szCs w:val="22"/>
        </w:rPr>
        <w:t>", "</w:t>
      </w:r>
      <w:bookmarkStart w:id="23" w:name="_9kR3WTr2334AE6zpt"/>
      <w:r w:rsidRPr="00CB637B">
        <w:rPr>
          <w:rFonts w:cs="Times New Roman"/>
          <w:i/>
          <w:iCs/>
          <w:szCs w:val="22"/>
        </w:rPr>
        <w:t>will</w:t>
      </w:r>
      <w:bookmarkEnd w:id="23"/>
      <w:r w:rsidRPr="00CB637B">
        <w:rPr>
          <w:rFonts w:cs="Times New Roman"/>
          <w:i/>
          <w:iCs/>
          <w:szCs w:val="22"/>
        </w:rPr>
        <w:t>", "</w:t>
      </w:r>
      <w:bookmarkStart w:id="24" w:name="_9kR3WTr2334AFnl42m"/>
      <w:r w:rsidRPr="00CB637B">
        <w:rPr>
          <w:rFonts w:cs="Times New Roman"/>
          <w:i/>
          <w:iCs/>
          <w:szCs w:val="22"/>
        </w:rPr>
        <w:t>could</w:t>
      </w:r>
      <w:bookmarkEnd w:id="24"/>
      <w:r w:rsidRPr="00CB637B">
        <w:rPr>
          <w:rFonts w:cs="Times New Roman"/>
          <w:i/>
          <w:iCs/>
          <w:szCs w:val="22"/>
        </w:rPr>
        <w:t>", "</w:t>
      </w:r>
      <w:bookmarkStart w:id="25" w:name="_9kR3WTr2334AG8542m"/>
      <w:r w:rsidRPr="00CB637B">
        <w:rPr>
          <w:rFonts w:cs="Times New Roman"/>
          <w:i/>
          <w:iCs/>
          <w:szCs w:val="22"/>
        </w:rPr>
        <w:t>would</w:t>
      </w:r>
      <w:bookmarkEnd w:id="25"/>
      <w:r w:rsidRPr="00CB637B">
        <w:rPr>
          <w:rFonts w:cs="Times New Roman"/>
          <w:i/>
          <w:iCs/>
          <w:szCs w:val="22"/>
        </w:rPr>
        <w:t>", "</w:t>
      </w:r>
      <w:bookmarkStart w:id="26" w:name="_9kR3WTr2334AH5ur53n"/>
      <w:r w:rsidRPr="00CB637B">
        <w:rPr>
          <w:rFonts w:cs="Times New Roman"/>
          <w:i/>
          <w:iCs/>
          <w:szCs w:val="22"/>
        </w:rPr>
        <w:t>should</w:t>
      </w:r>
      <w:bookmarkEnd w:id="26"/>
      <w:r w:rsidRPr="00CB637B">
        <w:rPr>
          <w:rFonts w:cs="Times New Roman"/>
          <w:i/>
          <w:iCs/>
          <w:szCs w:val="22"/>
        </w:rPr>
        <w:t>", "</w:t>
      </w:r>
      <w:bookmarkStart w:id="27" w:name="_9kR3WTr2334AI0hu"/>
      <w:r w:rsidRPr="00CB637B">
        <w:rPr>
          <w:rFonts w:cs="Times New Roman"/>
          <w:i/>
          <w:iCs/>
          <w:szCs w:val="22"/>
        </w:rPr>
        <w:t>may</w:t>
      </w:r>
      <w:bookmarkEnd w:id="27"/>
      <w:r w:rsidRPr="00CB637B">
        <w:rPr>
          <w:rFonts w:cs="Times New Roman"/>
          <w:i/>
          <w:iCs/>
          <w:szCs w:val="22"/>
        </w:rPr>
        <w:t xml:space="preserve">" and similar expressions typically identify forward-looking statements. </w:t>
      </w:r>
      <w:proofErr w:type="gramStart"/>
      <w:r w:rsidRPr="00CB637B">
        <w:rPr>
          <w:rFonts w:cs="Times New Roman"/>
          <w:i/>
          <w:iCs/>
          <w:szCs w:val="22"/>
        </w:rPr>
        <w:t>In particular, this</w:t>
      </w:r>
      <w:proofErr w:type="gramEnd"/>
      <w:r w:rsidRPr="00CB637B">
        <w:rPr>
          <w:rFonts w:cs="Times New Roman"/>
          <w:i/>
          <w:iCs/>
          <w:szCs w:val="22"/>
        </w:rPr>
        <w:t xml:space="preserve"> news release contains forward-looking statements including, without limitation, information and statements regarding</w:t>
      </w:r>
      <w:r>
        <w:rPr>
          <w:rFonts w:cs="Times New Roman"/>
          <w:i/>
          <w:iCs/>
          <w:szCs w:val="22"/>
        </w:rPr>
        <w:t>:</w:t>
      </w:r>
      <w:r w:rsidRPr="00CB637B">
        <w:rPr>
          <w:rFonts w:cs="Times New Roman"/>
          <w:i/>
          <w:iCs/>
          <w:szCs w:val="22"/>
        </w:rPr>
        <w:t xml:space="preserve"> </w:t>
      </w:r>
      <w:r w:rsidR="002D7D6E">
        <w:rPr>
          <w:rFonts w:cs="Times New Roman"/>
          <w:i/>
          <w:iCs/>
          <w:szCs w:val="22"/>
        </w:rPr>
        <w:t xml:space="preserve">the Investment; </w:t>
      </w:r>
      <w:r w:rsidRPr="00CB637B">
        <w:rPr>
          <w:rFonts w:cs="Times New Roman"/>
          <w:i/>
          <w:iCs/>
          <w:szCs w:val="22"/>
        </w:rPr>
        <w:t xml:space="preserve">the business and operations of </w:t>
      </w:r>
      <w:proofErr w:type="spellStart"/>
      <w:r w:rsidRPr="00CB637B">
        <w:rPr>
          <w:rFonts w:cs="Times New Roman"/>
          <w:i/>
          <w:iCs/>
          <w:szCs w:val="22"/>
        </w:rPr>
        <w:t>Culico</w:t>
      </w:r>
      <w:proofErr w:type="spellEnd"/>
      <w:r w:rsidR="00455D41">
        <w:rPr>
          <w:rFonts w:cs="Times New Roman"/>
          <w:i/>
          <w:iCs/>
          <w:szCs w:val="22"/>
        </w:rPr>
        <w:t xml:space="preserve"> and </w:t>
      </w:r>
      <w:r w:rsidR="00E8375D">
        <w:rPr>
          <w:rFonts w:cs="Times New Roman"/>
          <w:i/>
          <w:iCs/>
          <w:szCs w:val="22"/>
        </w:rPr>
        <w:t>KCC</w:t>
      </w:r>
      <w:r w:rsidR="002D7D6E">
        <w:rPr>
          <w:rFonts w:cs="Times New Roman"/>
          <w:i/>
          <w:iCs/>
          <w:szCs w:val="22"/>
        </w:rPr>
        <w:t>;</w:t>
      </w:r>
      <w:r w:rsidR="00455D41">
        <w:rPr>
          <w:rFonts w:cs="Times New Roman"/>
          <w:i/>
          <w:iCs/>
          <w:szCs w:val="22"/>
        </w:rPr>
        <w:t xml:space="preserve"> the receipt of final acceptance from the TSXV</w:t>
      </w:r>
      <w:r w:rsidR="002D7D6E">
        <w:rPr>
          <w:rFonts w:cs="Times New Roman"/>
          <w:i/>
          <w:iCs/>
          <w:szCs w:val="22"/>
        </w:rPr>
        <w:t>;</w:t>
      </w:r>
      <w:r w:rsidR="00455D41">
        <w:rPr>
          <w:rFonts w:cs="Times New Roman"/>
          <w:i/>
          <w:iCs/>
          <w:szCs w:val="22"/>
        </w:rPr>
        <w:t xml:space="preserve"> and the Corporation's ability to meet all the </w:t>
      </w:r>
      <w:r w:rsidR="00455D41" w:rsidRPr="00455D41">
        <w:rPr>
          <w:rFonts w:cs="Times New Roman"/>
          <w:i/>
          <w:iCs/>
          <w:szCs w:val="22"/>
        </w:rPr>
        <w:t xml:space="preserve">exit conditions </w:t>
      </w:r>
      <w:proofErr w:type="gramStart"/>
      <w:r w:rsidR="00455D41" w:rsidRPr="00455D41">
        <w:rPr>
          <w:rFonts w:cs="Times New Roman"/>
          <w:i/>
          <w:iCs/>
          <w:szCs w:val="22"/>
        </w:rPr>
        <w:t>in order to</w:t>
      </w:r>
      <w:proofErr w:type="gramEnd"/>
      <w:r w:rsidR="00455D41" w:rsidRPr="00455D41">
        <w:rPr>
          <w:rFonts w:cs="Times New Roman"/>
          <w:i/>
          <w:iCs/>
          <w:szCs w:val="22"/>
        </w:rPr>
        <w:t xml:space="preserve"> exit TSXV Sandbox</w:t>
      </w:r>
      <w:r w:rsidR="00E8375D">
        <w:rPr>
          <w:rFonts w:cs="Times New Roman"/>
          <w:i/>
          <w:iCs/>
          <w:szCs w:val="22"/>
        </w:rPr>
        <w:t xml:space="preserve"> and </w:t>
      </w:r>
      <w:proofErr w:type="gramStart"/>
      <w:r w:rsidR="00E8375D">
        <w:rPr>
          <w:rFonts w:cs="Times New Roman"/>
          <w:i/>
          <w:iCs/>
          <w:szCs w:val="22"/>
        </w:rPr>
        <w:t>the TSXV's</w:t>
      </w:r>
      <w:proofErr w:type="gramEnd"/>
      <w:r w:rsidR="00E8375D">
        <w:rPr>
          <w:rFonts w:cs="Times New Roman"/>
          <w:i/>
          <w:iCs/>
          <w:szCs w:val="22"/>
        </w:rPr>
        <w:t xml:space="preserve"> satisfactory review thereof</w:t>
      </w:r>
      <w:r w:rsidRPr="00CB637B">
        <w:rPr>
          <w:rFonts w:cs="Times New Roman"/>
          <w:i/>
          <w:iCs/>
          <w:szCs w:val="22"/>
        </w:rPr>
        <w:t>.</w:t>
      </w:r>
    </w:p>
    <w:p w14:paraId="2AA5BE94" w14:textId="77777777" w:rsidR="00321FEB" w:rsidRPr="00CB637B" w:rsidRDefault="00321FEB" w:rsidP="00321FEB">
      <w:pPr>
        <w:shd w:val="clear" w:color="auto" w:fill="FFFFFF" w:themeFill="background1"/>
        <w:spacing w:before="100" w:beforeAutospacing="1" w:line="276" w:lineRule="auto"/>
        <w:rPr>
          <w:rFonts w:cs="Times New Roman"/>
          <w:i/>
          <w:iCs/>
          <w:szCs w:val="22"/>
        </w:rPr>
      </w:pPr>
      <w:r w:rsidRPr="00CB637B">
        <w:rPr>
          <w:rFonts w:cs="Times New Roman"/>
          <w:i/>
          <w:iCs/>
          <w:szCs w:val="22"/>
        </w:rPr>
        <w:lastRenderedPageBreak/>
        <w:t xml:space="preserve">Forward-looking statements are necessarily based on the opinions and estimates of management at the date the statements are made and are based on </w:t>
      </w:r>
      <w:proofErr w:type="gramStart"/>
      <w:r w:rsidRPr="00CB637B">
        <w:rPr>
          <w:rFonts w:cs="Times New Roman"/>
          <w:i/>
          <w:iCs/>
          <w:szCs w:val="22"/>
        </w:rPr>
        <w:t>a number of</w:t>
      </w:r>
      <w:proofErr w:type="gramEnd"/>
      <w:r w:rsidRPr="00CB637B">
        <w:rPr>
          <w:rFonts w:cs="Times New Roman"/>
          <w:i/>
          <w:iCs/>
          <w:szCs w:val="22"/>
        </w:rPr>
        <w:t xml:space="preserve"> assumptions and subject to a variety of risks and uncertainties and other factors that could cause actual events or results to differ materially from those projected in the forward-looking statements. Many of these assumptions are based on factors and events that are not within the control of </w:t>
      </w:r>
      <w:proofErr w:type="spellStart"/>
      <w:r w:rsidRPr="00CB637B">
        <w:rPr>
          <w:rFonts w:cs="Times New Roman"/>
          <w:i/>
          <w:iCs/>
          <w:szCs w:val="22"/>
        </w:rPr>
        <w:t>Culico</w:t>
      </w:r>
      <w:proofErr w:type="spellEnd"/>
      <w:r w:rsidRPr="00CB637B">
        <w:rPr>
          <w:rFonts w:cs="Times New Roman"/>
          <w:i/>
          <w:iCs/>
          <w:szCs w:val="22"/>
        </w:rPr>
        <w:t xml:space="preserve"> and there is no assurance they will prove to be correct.  </w:t>
      </w:r>
    </w:p>
    <w:p w14:paraId="338CF3FB" w14:textId="77777777" w:rsidR="00321FEB" w:rsidRPr="00CB637B" w:rsidRDefault="00321FEB" w:rsidP="00321FEB">
      <w:pPr>
        <w:spacing w:before="100" w:beforeAutospacing="1" w:line="276" w:lineRule="auto"/>
        <w:rPr>
          <w:rFonts w:cs="Times New Roman"/>
          <w:i/>
          <w:iCs/>
          <w:szCs w:val="22"/>
        </w:rPr>
      </w:pPr>
      <w:r w:rsidRPr="00CB637B">
        <w:rPr>
          <w:rFonts w:cs="Times New Roman"/>
          <w:i/>
          <w:iCs/>
          <w:szCs w:val="22"/>
        </w:rPr>
        <w:t xml:space="preserve">These factors are discussed in greater detail in </w:t>
      </w:r>
      <w:proofErr w:type="spellStart"/>
      <w:r w:rsidRPr="00CB637B">
        <w:rPr>
          <w:rFonts w:cs="Times New Roman"/>
          <w:i/>
          <w:iCs/>
          <w:szCs w:val="22"/>
        </w:rPr>
        <w:t>Culico's</w:t>
      </w:r>
      <w:proofErr w:type="spellEnd"/>
      <w:r w:rsidRPr="00CB637B">
        <w:rPr>
          <w:rFonts w:cs="Times New Roman"/>
          <w:i/>
          <w:iCs/>
          <w:szCs w:val="22"/>
        </w:rPr>
        <w:t xml:space="preserve"> TSXV Form 2B – Listing Application, filed under the Corporation's issuer profile on SEDAR+, which also provides additional general assumptions in connection with these statements. </w:t>
      </w:r>
      <w:proofErr w:type="spellStart"/>
      <w:r w:rsidRPr="00CB637B">
        <w:rPr>
          <w:rFonts w:cs="Times New Roman"/>
          <w:i/>
          <w:iCs/>
          <w:szCs w:val="22"/>
        </w:rPr>
        <w:t>Culico</w:t>
      </w:r>
      <w:proofErr w:type="spellEnd"/>
      <w:r w:rsidRPr="00CB637B">
        <w:rPr>
          <w:rFonts w:cs="Times New Roman"/>
          <w:i/>
          <w:iCs/>
          <w:szCs w:val="22"/>
        </w:rPr>
        <w:t xml:space="preserve"> cautions that the foregoing list of important factors is not exhaustive. Investors and others who base themselves on forward-looking statements should carefully consider the above factors as well as the uncertainties they represent and the risk they entail. </w:t>
      </w:r>
    </w:p>
    <w:p w14:paraId="4178B136" w14:textId="77777777" w:rsidR="00321FEB" w:rsidRPr="00CB637B" w:rsidRDefault="00321FEB" w:rsidP="00321FEB">
      <w:pPr>
        <w:spacing w:line="276" w:lineRule="auto"/>
        <w:rPr>
          <w:rFonts w:cs="Times New Roman"/>
          <w:i/>
          <w:iCs/>
          <w:szCs w:val="22"/>
        </w:rPr>
      </w:pPr>
    </w:p>
    <w:p w14:paraId="4E3333F7" w14:textId="77777777" w:rsidR="00321FEB" w:rsidRPr="00CB637B" w:rsidRDefault="00321FEB" w:rsidP="00321FEB">
      <w:pPr>
        <w:spacing w:line="276" w:lineRule="auto"/>
        <w:rPr>
          <w:rFonts w:cs="Times New Roman"/>
          <w:i/>
          <w:iCs/>
          <w:szCs w:val="22"/>
        </w:rPr>
      </w:pPr>
      <w:r w:rsidRPr="00CB637B">
        <w:rPr>
          <w:rFonts w:cs="Times New Roman"/>
          <w:i/>
          <w:iCs/>
          <w:szCs w:val="22"/>
        </w:rPr>
        <w:t xml:space="preserve">Although </w:t>
      </w:r>
      <w:proofErr w:type="spellStart"/>
      <w:r w:rsidRPr="00CB637B">
        <w:rPr>
          <w:rFonts w:cs="Times New Roman"/>
          <w:i/>
          <w:iCs/>
          <w:szCs w:val="22"/>
        </w:rPr>
        <w:t>Culico</w:t>
      </w:r>
      <w:proofErr w:type="spellEnd"/>
      <w:r w:rsidRPr="00CB637B">
        <w:rPr>
          <w:rFonts w:cs="Times New Roman"/>
          <w:i/>
          <w:iCs/>
          <w:szCs w:val="22"/>
        </w:rPr>
        <w:t xml:space="preserve"> has attempted to identify important factors that could cause actual actions, events or results to differ materially from those described in forward-looking statements, there may be other factors that cause actions, events or results not to be anticipated, estimated or intended. There can be no assurance that forward-looking statements will prove to be accurate, as actual results and future events could differ materially from those anticipated in such statements. </w:t>
      </w:r>
      <w:proofErr w:type="spellStart"/>
      <w:r w:rsidRPr="00CB637B">
        <w:rPr>
          <w:rFonts w:cs="Times New Roman"/>
          <w:i/>
          <w:iCs/>
          <w:szCs w:val="22"/>
        </w:rPr>
        <w:t>Culico</w:t>
      </w:r>
      <w:proofErr w:type="spellEnd"/>
      <w:r w:rsidRPr="00CB637B">
        <w:rPr>
          <w:rFonts w:cs="Times New Roman"/>
          <w:i/>
          <w:iCs/>
          <w:szCs w:val="22"/>
        </w:rPr>
        <w:t xml:space="preserve"> undertakes no obligation to update forward-looking statements if circumstances or </w:t>
      </w:r>
      <w:bookmarkStart w:id="28" w:name="_9kMHG5YVt89568G"/>
      <w:r w:rsidRPr="00CB637B">
        <w:rPr>
          <w:rFonts w:cs="Times New Roman"/>
          <w:i/>
          <w:iCs/>
          <w:szCs w:val="22"/>
        </w:rPr>
        <w:t>management's</w:t>
      </w:r>
      <w:bookmarkEnd w:id="28"/>
      <w:r w:rsidRPr="00CB637B">
        <w:rPr>
          <w:rFonts w:cs="Times New Roman"/>
          <w:i/>
          <w:iCs/>
          <w:szCs w:val="22"/>
        </w:rPr>
        <w:t xml:space="preserve"> estimates or opinions should change except as required by applicable securities laws. The reader is cautioned not to place undue reliance on forward-looking statements. Comparative market information is as of a date prior to the date of this document. Further, the forward-looking statements included herein speak only as of the date of this news release.</w:t>
      </w:r>
    </w:p>
    <w:p w14:paraId="1D5D7249" w14:textId="77777777" w:rsidR="00321FEB" w:rsidRPr="00CB637B" w:rsidRDefault="00321FEB" w:rsidP="00321FEB">
      <w:pPr>
        <w:spacing w:line="276" w:lineRule="auto"/>
        <w:rPr>
          <w:rFonts w:cs="Times New Roman"/>
          <w:i/>
          <w:iCs/>
          <w:szCs w:val="22"/>
        </w:rPr>
      </w:pPr>
    </w:p>
    <w:p w14:paraId="24F60F0C" w14:textId="77777777" w:rsidR="00321FEB" w:rsidRPr="00CB637B" w:rsidRDefault="00321FEB" w:rsidP="00321FEB">
      <w:pPr>
        <w:rPr>
          <w:rFonts w:cs="Times New Roman"/>
          <w:b/>
          <w:szCs w:val="22"/>
        </w:rPr>
      </w:pPr>
      <w:r w:rsidRPr="00CB637B">
        <w:rPr>
          <w:rFonts w:cs="Times New Roman"/>
          <w:b/>
          <w:szCs w:val="22"/>
        </w:rPr>
        <w:t>Neither the TSXV nor its Regulation Services Provider (as that term is defined in the policies of the TSXV) accepts responsibility for the adequacy or accuracy of this news release. No stock exchange, securities commission or other regulatory authority has approved or disapproved the information contained herein.</w:t>
      </w:r>
    </w:p>
    <w:p w14:paraId="0EABFF80" w14:textId="77777777" w:rsidR="00321FEB" w:rsidRPr="00CB637B" w:rsidRDefault="00321FEB" w:rsidP="00321FEB">
      <w:pPr>
        <w:rPr>
          <w:rFonts w:cs="Times New Roman"/>
          <w:b/>
          <w:szCs w:val="22"/>
        </w:rPr>
      </w:pPr>
    </w:p>
    <w:p w14:paraId="75441C6B" w14:textId="2B05EC9E" w:rsidR="00321FEB" w:rsidRPr="00321FEB" w:rsidRDefault="00321FEB" w:rsidP="00321FEB">
      <w:pPr>
        <w:pStyle w:val="BodyText"/>
        <w:rPr>
          <w:sz w:val="22"/>
          <w:szCs w:val="22"/>
        </w:rPr>
      </w:pPr>
      <w:r w:rsidRPr="00CB637B">
        <w:rPr>
          <w:b/>
          <w:bCs/>
          <w:sz w:val="22"/>
          <w:szCs w:val="22"/>
        </w:rPr>
        <w:t>Investors are advised that the Corporation has been listed on TSXV as a TSXV Sandbox Listing as the Corporation did not meet all TSXV</w:t>
      </w:r>
      <w:r w:rsidR="00386F27">
        <w:rPr>
          <w:b/>
          <w:bCs/>
          <w:sz w:val="22"/>
          <w:szCs w:val="22"/>
        </w:rPr>
        <w:t>'</w:t>
      </w:r>
      <w:r w:rsidRPr="00CB637B">
        <w:rPr>
          <w:b/>
          <w:bCs/>
          <w:sz w:val="22"/>
          <w:szCs w:val="22"/>
        </w:rPr>
        <w:t xml:space="preserve">s listing requirements at the time of listing. </w:t>
      </w:r>
      <w:r w:rsidRPr="00CB637B">
        <w:rPr>
          <w:b/>
          <w:bCs/>
          <w:sz w:val="22"/>
          <w:szCs w:val="22"/>
          <w:lang w:val="en-CA"/>
        </w:rPr>
        <w:t xml:space="preserve">Investors are advised to read the Corporation's news release dated August 14, </w:t>
      </w:r>
      <w:proofErr w:type="gramStart"/>
      <w:r w:rsidRPr="00CB637B">
        <w:rPr>
          <w:b/>
          <w:bCs/>
          <w:sz w:val="22"/>
          <w:szCs w:val="22"/>
          <w:lang w:val="en-CA"/>
        </w:rPr>
        <w:t>2024</w:t>
      </w:r>
      <w:proofErr w:type="gramEnd"/>
      <w:r w:rsidRPr="00CB637B">
        <w:rPr>
          <w:b/>
          <w:bCs/>
          <w:sz w:val="22"/>
          <w:szCs w:val="22"/>
          <w:lang w:val="en-CA"/>
        </w:rPr>
        <w:t xml:space="preserve"> to review all waivers granted in connection with the Corporation's listing, details on the listing conditions imposed on the Corporation, the exit conditions the Corporation must meet </w:t>
      </w:r>
      <w:proofErr w:type="gramStart"/>
      <w:r w:rsidRPr="00CB637B">
        <w:rPr>
          <w:b/>
          <w:bCs/>
          <w:sz w:val="22"/>
          <w:szCs w:val="22"/>
          <w:lang w:val="en-CA"/>
        </w:rPr>
        <w:t>in order to</w:t>
      </w:r>
      <w:proofErr w:type="gramEnd"/>
      <w:r w:rsidRPr="00CB637B">
        <w:rPr>
          <w:b/>
          <w:bCs/>
          <w:sz w:val="22"/>
          <w:szCs w:val="22"/>
          <w:lang w:val="en-CA"/>
        </w:rPr>
        <w:t xml:space="preserve"> exit TSXV Sandbox, and any consequences if the Corporation does not meet these exit conditions.</w:t>
      </w:r>
      <w:r w:rsidRPr="00CB637B">
        <w:rPr>
          <w:b/>
          <w:bCs/>
          <w:i/>
          <w:iCs/>
          <w:sz w:val="22"/>
          <w:szCs w:val="22"/>
          <w:lang w:val="en-CA"/>
        </w:rPr>
        <w:t xml:space="preserve"> </w:t>
      </w:r>
      <w:r w:rsidRPr="00CB637B">
        <w:rPr>
          <w:b/>
          <w:bCs/>
          <w:sz w:val="22"/>
          <w:szCs w:val="22"/>
        </w:rPr>
        <w:t>There can be no assurance that the Corporation will meet all the Exit Conditions. For details on TSXV Sandbox, please visit (https://www.tsx.com/en/listings/tsx-and-tsxv-issuer-resources/tsx-</w:t>
      </w:r>
      <w:r w:rsidRPr="00CB637B">
        <w:rPr>
          <w:b/>
          <w:bCs/>
          <w:sz w:val="22"/>
          <w:szCs w:val="22"/>
          <w:u w:val="single"/>
        </w:rPr>
        <w:t>venture-exchange-issuer-resources/tsxv-sandbox</w:t>
      </w:r>
      <w:r w:rsidRPr="00CB637B">
        <w:rPr>
          <w:b/>
          <w:bCs/>
          <w:sz w:val="22"/>
          <w:szCs w:val="22"/>
        </w:rPr>
        <w:t>).</w:t>
      </w:r>
    </w:p>
    <w:p w14:paraId="51031C32" w14:textId="77777777" w:rsidR="00321FEB" w:rsidRPr="00CB637B" w:rsidRDefault="00321FEB" w:rsidP="00321FEB">
      <w:pPr>
        <w:keepNext/>
        <w:spacing w:before="100" w:beforeAutospacing="1" w:line="276" w:lineRule="auto"/>
        <w:rPr>
          <w:rFonts w:eastAsia="Calibri" w:cs="Times New Roman"/>
          <w:b/>
          <w:bCs/>
          <w:szCs w:val="22"/>
        </w:rPr>
      </w:pPr>
      <w:r w:rsidRPr="00CB637B">
        <w:rPr>
          <w:rFonts w:eastAsia="Calibri" w:cs="Times New Roman"/>
          <w:b/>
          <w:bCs/>
          <w:szCs w:val="22"/>
        </w:rPr>
        <w:t xml:space="preserve">For more information contact: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880"/>
      </w:tblGrid>
      <w:tr w:rsidR="00321FEB" w:rsidRPr="00CB637B" w14:paraId="6CE809A5" w14:textId="77777777" w:rsidTr="005813DC">
        <w:tc>
          <w:tcPr>
            <w:tcW w:w="4590" w:type="dxa"/>
          </w:tcPr>
          <w:p w14:paraId="7F5D9695" w14:textId="66FE63B2" w:rsidR="00321FEB" w:rsidRPr="00E47822" w:rsidRDefault="00505D8E" w:rsidP="005813DC">
            <w:pPr>
              <w:jc w:val="left"/>
              <w:rPr>
                <w:rFonts w:ascii="Times New Roman" w:hAnsi="Times New Roman" w:cs="Times New Roman"/>
              </w:rPr>
            </w:pPr>
            <w:r>
              <w:rPr>
                <w:rFonts w:ascii="Times New Roman" w:eastAsia="Calibri" w:hAnsi="Times New Roman" w:cs="Times New Roman"/>
              </w:rPr>
              <w:t>Maxim Kouxenko</w:t>
            </w:r>
            <w:r w:rsidR="00321FEB" w:rsidRPr="00CB637B">
              <w:rPr>
                <w:rFonts w:ascii="Times New Roman" w:eastAsia="Calibri" w:hAnsi="Times New Roman" w:cs="Times New Roman"/>
              </w:rPr>
              <w:t xml:space="preserve"> </w:t>
            </w:r>
            <w:r w:rsidR="00321FEB" w:rsidRPr="00CB637B">
              <w:rPr>
                <w:rFonts w:ascii="Times New Roman" w:eastAsia="Calibri" w:hAnsi="Times New Roman" w:cs="Times New Roman"/>
              </w:rPr>
              <w:br/>
            </w:r>
            <w:r>
              <w:rPr>
                <w:rFonts w:ascii="Times New Roman" w:eastAsia="Calibri" w:hAnsi="Times New Roman" w:cs="Times New Roman"/>
              </w:rPr>
              <w:t>Manager, Investor Relations</w:t>
            </w:r>
            <w:r w:rsidR="00321FEB" w:rsidRPr="00E47822">
              <w:rPr>
                <w:rFonts w:ascii="Times New Roman" w:eastAsia="Calibri" w:hAnsi="Times New Roman" w:cs="Times New Roman"/>
              </w:rPr>
              <w:br/>
              <w:t>Phone: 775-386-2468</w:t>
            </w:r>
          </w:p>
          <w:p w14:paraId="4466CBF6" w14:textId="77777777" w:rsidR="00321FEB" w:rsidRPr="00CB637B" w:rsidRDefault="00321FEB" w:rsidP="00614E73">
            <w:pPr>
              <w:spacing w:before="100" w:beforeAutospacing="1" w:line="276" w:lineRule="auto"/>
              <w:rPr>
                <w:rFonts w:ascii="Times New Roman" w:eastAsia="Calibri" w:hAnsi="Times New Roman" w:cs="Times New Roman"/>
              </w:rPr>
            </w:pPr>
            <w:r w:rsidRPr="00E47822">
              <w:rPr>
                <w:rFonts w:ascii="Times New Roman" w:eastAsia="Calibri" w:hAnsi="Times New Roman" w:cs="Times New Roman"/>
              </w:rPr>
              <w:t xml:space="preserve">Email: </w:t>
            </w:r>
            <w:hyperlink r:id="rId9" w:history="1">
              <w:r w:rsidRPr="00E47822">
                <w:rPr>
                  <w:rStyle w:val="Hyperlink"/>
                  <w:rFonts w:ascii="Times New Roman" w:hAnsi="Times New Roman" w:cs="Times New Roman"/>
                </w:rPr>
                <w:t>info@culicometals.com</w:t>
              </w:r>
            </w:hyperlink>
          </w:p>
        </w:tc>
        <w:tc>
          <w:tcPr>
            <w:tcW w:w="2880" w:type="dxa"/>
          </w:tcPr>
          <w:p w14:paraId="36AB83B2" w14:textId="77777777" w:rsidR="00321FEB" w:rsidRPr="00E47822" w:rsidRDefault="00321FEB" w:rsidP="00614E73">
            <w:pPr>
              <w:keepNext/>
              <w:spacing w:before="100" w:beforeAutospacing="1" w:line="276" w:lineRule="auto"/>
              <w:jc w:val="left"/>
              <w:rPr>
                <w:rFonts w:ascii="Times New Roman" w:eastAsia="Calibri" w:hAnsi="Times New Roman" w:cs="Times New Roman"/>
                <w:color w:val="FF0000"/>
              </w:rPr>
            </w:pPr>
            <w:bookmarkStart w:id="29" w:name="_9kR3WTyA544BEJGtrzmuEbR3tRWx7ST84B9H4CW"/>
            <w:proofErr w:type="spellStart"/>
            <w:r w:rsidRPr="00E47822">
              <w:rPr>
                <w:rFonts w:ascii="Times New Roman" w:eastAsia="Calibri" w:hAnsi="Times New Roman" w:cs="Times New Roman"/>
              </w:rPr>
              <w:t>Culico</w:t>
            </w:r>
            <w:proofErr w:type="spellEnd"/>
            <w:r w:rsidRPr="00E47822">
              <w:rPr>
                <w:rFonts w:ascii="Times New Roman" w:eastAsia="Calibri" w:hAnsi="Times New Roman" w:cs="Times New Roman"/>
              </w:rPr>
              <w:t xml:space="preserve"> Metals Inc. </w:t>
            </w:r>
            <w:r w:rsidRPr="00E47822">
              <w:rPr>
                <w:rFonts w:ascii="Times New Roman" w:eastAsia="Calibri" w:hAnsi="Times New Roman" w:cs="Times New Roman"/>
              </w:rPr>
              <w:br/>
            </w:r>
            <w:bookmarkEnd w:id="29"/>
            <w:r w:rsidRPr="00E47822">
              <w:rPr>
                <w:rFonts w:cs="Times New Roman"/>
              </w:rPr>
              <w:fldChar w:fldCharType="begin"/>
            </w:r>
            <w:r w:rsidRPr="00E47822">
              <w:rPr>
                <w:rFonts w:ascii="Times New Roman" w:hAnsi="Times New Roman" w:cs="Times New Roman"/>
              </w:rPr>
              <w:instrText>HYPERLINK "http://www.culicometals.com"</w:instrText>
            </w:r>
            <w:r w:rsidRPr="00E47822">
              <w:rPr>
                <w:rFonts w:cs="Times New Roman"/>
              </w:rPr>
            </w:r>
            <w:r w:rsidRPr="00E47822">
              <w:rPr>
                <w:rFonts w:cs="Times New Roman"/>
              </w:rPr>
              <w:fldChar w:fldCharType="separate"/>
            </w:r>
            <w:r w:rsidRPr="00E47822">
              <w:rPr>
                <w:rStyle w:val="Hyperlink"/>
                <w:rFonts w:ascii="Times New Roman" w:hAnsi="Times New Roman" w:cs="Times New Roman"/>
              </w:rPr>
              <w:t>www.culicometals.com</w:t>
            </w:r>
            <w:r w:rsidRPr="00E47822">
              <w:rPr>
                <w:rFonts w:cs="Times New Roman"/>
              </w:rPr>
              <w:fldChar w:fldCharType="end"/>
            </w:r>
            <w:r w:rsidRPr="00E47822">
              <w:rPr>
                <w:rFonts w:ascii="Times New Roman" w:hAnsi="Times New Roman" w:cs="Times New Roman"/>
              </w:rPr>
              <w:t xml:space="preserve"> </w:t>
            </w:r>
          </w:p>
        </w:tc>
      </w:tr>
    </w:tbl>
    <w:p w14:paraId="63449167" w14:textId="77777777" w:rsidR="00F654DA" w:rsidRDefault="00F654DA">
      <w:pPr>
        <w:pStyle w:val="BodyText"/>
      </w:pPr>
    </w:p>
    <w:sectPr w:rsidR="00F654DA" w:rsidSect="00321FE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3320C" w14:textId="77777777" w:rsidR="00AD1A21" w:rsidRDefault="00AD1A21">
      <w:r>
        <w:separator/>
      </w:r>
    </w:p>
  </w:endnote>
  <w:endnote w:type="continuationSeparator" w:id="0">
    <w:p w14:paraId="6468D881" w14:textId="77777777" w:rsidR="00AD1A21" w:rsidRDefault="00AD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08F78" w14:textId="77777777" w:rsidR="009D1F23" w:rsidRDefault="009D1F23">
    <w:pPr>
      <w:tabs>
        <w:tab w:val="right" w:pos="9360"/>
      </w:tabs>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E4D2B" w14:textId="77777777" w:rsidR="00D12367" w:rsidRDefault="00D123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642F" w14:textId="77777777" w:rsidR="00D12367" w:rsidRDefault="00D12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E39CD" w14:textId="77777777" w:rsidR="00AD1A21" w:rsidRDefault="00AD1A21">
      <w:r>
        <w:separator/>
      </w:r>
    </w:p>
  </w:footnote>
  <w:footnote w:type="continuationSeparator" w:id="0">
    <w:p w14:paraId="7BEF62C9" w14:textId="77777777" w:rsidR="00AD1A21" w:rsidRDefault="00AD1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BD8C5" w14:textId="77777777" w:rsidR="009D1F23" w:rsidRDefault="009D1F23">
    <w:pPr>
      <w:tabs>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73808" w14:textId="77777777" w:rsidR="009D1F23" w:rsidRDefault="009D1F23" w:rsidP="00DA3B5A">
    <w:pPr>
      <w:pStyle w:val="Header"/>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8A8B" w14:textId="77777777" w:rsidR="009D1F23" w:rsidRDefault="009D1F23">
    <w:pPr>
      <w:tabs>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322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023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2228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00F8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CC43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5FA82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FA4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C471D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5C6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44C1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B552A"/>
    <w:multiLevelType w:val="multilevel"/>
    <w:tmpl w:val="F52A175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1BB63DA8"/>
    <w:multiLevelType w:val="multilevel"/>
    <w:tmpl w:val="FADA2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2" w15:restartNumberingAfterBreak="0">
    <w:nsid w:val="32954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5100C1"/>
    <w:multiLevelType w:val="multilevel"/>
    <w:tmpl w:val="CFFA2972"/>
    <w:styleLink w:val="ArticleSection"/>
    <w:lvl w:ilvl="0">
      <w:start w:val="1"/>
      <w:numFmt w:val="upperRoman"/>
      <w:lvlText w:val="Article %1."/>
      <w:lvlJc w:val="left"/>
      <w:pPr>
        <w:tabs>
          <w:tab w:val="num" w:pos="720"/>
        </w:tabs>
        <w:ind w:left="720" w:hanging="720"/>
      </w:pPr>
      <w:rPr>
        <w:rFonts w:hint="default"/>
      </w:rPr>
    </w:lvl>
    <w:lvl w:ilvl="1">
      <w:start w:val="1"/>
      <w:numFmt w:val="decimalZero"/>
      <w:isLgl/>
      <w:lvlText w:val="Section %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4" w15:restartNumberingAfterBreak="0">
    <w:nsid w:val="3C12312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A34E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42D3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99798160">
    <w:abstractNumId w:val="12"/>
  </w:num>
  <w:num w:numId="2" w16cid:durableId="62142640">
    <w:abstractNumId w:val="16"/>
  </w:num>
  <w:num w:numId="3" w16cid:durableId="799302956">
    <w:abstractNumId w:val="15"/>
  </w:num>
  <w:num w:numId="4" w16cid:durableId="302271373">
    <w:abstractNumId w:val="13"/>
  </w:num>
  <w:num w:numId="5" w16cid:durableId="88082358">
    <w:abstractNumId w:val="14"/>
  </w:num>
  <w:num w:numId="6" w16cid:durableId="158279448">
    <w:abstractNumId w:val="11"/>
  </w:num>
  <w:num w:numId="7" w16cid:durableId="398290283">
    <w:abstractNumId w:val="17"/>
  </w:num>
  <w:num w:numId="8" w16cid:durableId="1053188976">
    <w:abstractNumId w:val="10"/>
  </w:num>
  <w:num w:numId="9" w16cid:durableId="537469902">
    <w:abstractNumId w:val="9"/>
  </w:num>
  <w:num w:numId="10" w16cid:durableId="569384551">
    <w:abstractNumId w:val="7"/>
  </w:num>
  <w:num w:numId="11" w16cid:durableId="723480518">
    <w:abstractNumId w:val="6"/>
  </w:num>
  <w:num w:numId="12" w16cid:durableId="160971681">
    <w:abstractNumId w:val="5"/>
  </w:num>
  <w:num w:numId="13" w16cid:durableId="25062851">
    <w:abstractNumId w:val="4"/>
  </w:num>
  <w:num w:numId="14" w16cid:durableId="864831936">
    <w:abstractNumId w:val="8"/>
  </w:num>
  <w:num w:numId="15" w16cid:durableId="849026508">
    <w:abstractNumId w:val="3"/>
  </w:num>
  <w:num w:numId="16" w16cid:durableId="1298418709">
    <w:abstractNumId w:val="2"/>
  </w:num>
  <w:num w:numId="17" w16cid:durableId="1882789901">
    <w:abstractNumId w:val="1"/>
  </w:num>
  <w:num w:numId="18" w16cid:durableId="1247493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B"/>
    <w:rsid w:val="000348FC"/>
    <w:rsid w:val="00091F3E"/>
    <w:rsid w:val="000B005C"/>
    <w:rsid w:val="000C717C"/>
    <w:rsid w:val="000E334D"/>
    <w:rsid w:val="00196835"/>
    <w:rsid w:val="001B418B"/>
    <w:rsid w:val="002224C8"/>
    <w:rsid w:val="00281FBC"/>
    <w:rsid w:val="002C6DE5"/>
    <w:rsid w:val="002D7D6E"/>
    <w:rsid w:val="00321FEB"/>
    <w:rsid w:val="00372D23"/>
    <w:rsid w:val="00386F27"/>
    <w:rsid w:val="003C55A8"/>
    <w:rsid w:val="003C7472"/>
    <w:rsid w:val="003F7F1B"/>
    <w:rsid w:val="00404C69"/>
    <w:rsid w:val="00405D4B"/>
    <w:rsid w:val="00451E26"/>
    <w:rsid w:val="00455D41"/>
    <w:rsid w:val="004D5565"/>
    <w:rsid w:val="004E0779"/>
    <w:rsid w:val="00505D8E"/>
    <w:rsid w:val="0051549F"/>
    <w:rsid w:val="00534FCA"/>
    <w:rsid w:val="005470FD"/>
    <w:rsid w:val="0055793B"/>
    <w:rsid w:val="005813DC"/>
    <w:rsid w:val="00595087"/>
    <w:rsid w:val="005B0074"/>
    <w:rsid w:val="005B2ABC"/>
    <w:rsid w:val="00662D10"/>
    <w:rsid w:val="00692401"/>
    <w:rsid w:val="006A7EC0"/>
    <w:rsid w:val="006B7A31"/>
    <w:rsid w:val="006C5B1E"/>
    <w:rsid w:val="007303FE"/>
    <w:rsid w:val="007418EA"/>
    <w:rsid w:val="0074514C"/>
    <w:rsid w:val="0077096A"/>
    <w:rsid w:val="008016B9"/>
    <w:rsid w:val="00807F92"/>
    <w:rsid w:val="0081544C"/>
    <w:rsid w:val="0083025A"/>
    <w:rsid w:val="00834E05"/>
    <w:rsid w:val="00847724"/>
    <w:rsid w:val="008C6406"/>
    <w:rsid w:val="008F364E"/>
    <w:rsid w:val="00973833"/>
    <w:rsid w:val="0098035C"/>
    <w:rsid w:val="009974CB"/>
    <w:rsid w:val="009D1F23"/>
    <w:rsid w:val="00A103B6"/>
    <w:rsid w:val="00A22F6F"/>
    <w:rsid w:val="00A70CA5"/>
    <w:rsid w:val="00AA293A"/>
    <w:rsid w:val="00AB1184"/>
    <w:rsid w:val="00AD1A21"/>
    <w:rsid w:val="00AD4A7A"/>
    <w:rsid w:val="00B83EC0"/>
    <w:rsid w:val="00B97416"/>
    <w:rsid w:val="00BE6075"/>
    <w:rsid w:val="00BF6CBA"/>
    <w:rsid w:val="00C605A4"/>
    <w:rsid w:val="00C8712E"/>
    <w:rsid w:val="00CB510A"/>
    <w:rsid w:val="00CC27E7"/>
    <w:rsid w:val="00CC7F9A"/>
    <w:rsid w:val="00D12367"/>
    <w:rsid w:val="00D67395"/>
    <w:rsid w:val="00D71D5B"/>
    <w:rsid w:val="00D8236F"/>
    <w:rsid w:val="00D87ED8"/>
    <w:rsid w:val="00D95683"/>
    <w:rsid w:val="00DB5A3D"/>
    <w:rsid w:val="00E1392B"/>
    <w:rsid w:val="00E13E19"/>
    <w:rsid w:val="00E3328B"/>
    <w:rsid w:val="00E47822"/>
    <w:rsid w:val="00E8375D"/>
    <w:rsid w:val="00EF272E"/>
    <w:rsid w:val="00EF7E4E"/>
    <w:rsid w:val="00F06324"/>
    <w:rsid w:val="00F46EFF"/>
    <w:rsid w:val="00F654DA"/>
    <w:rsid w:val="00FD1ACD"/>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2D397E"/>
  <w15:chartTrackingRefBased/>
  <w15:docId w15:val="{08B6A0A2-7B53-4361-9110-C02AC9B6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4"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1FEB"/>
    <w:pPr>
      <w:spacing w:after="0"/>
      <w:jc w:val="both"/>
    </w:pPr>
    <w:rPr>
      <w:kern w:val="0"/>
      <w:sz w:val="22"/>
      <w14:ligatures w14:val="none"/>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kern w:val="2"/>
      <w:sz w:val="24"/>
      <w:szCs w:val="28"/>
      <w14:ligatures w14:val="standardContextual"/>
    </w:rPr>
  </w:style>
  <w:style w:type="paragraph" w:styleId="Heading2">
    <w:name w:val="heading 2"/>
    <w:basedOn w:val="Normal"/>
    <w:next w:val="BodyText"/>
    <w:link w:val="Heading2Char"/>
    <w:uiPriority w:val="9"/>
    <w:unhideWhenUsed/>
    <w:qFormat/>
    <w:pPr>
      <w:keepNext/>
      <w:spacing w:after="240"/>
      <w:outlineLvl w:val="1"/>
    </w:pPr>
    <w:rPr>
      <w:rFonts w:eastAsiaTheme="majorEastAsia" w:cstheme="majorBidi"/>
      <w:b/>
      <w:bCs/>
      <w:kern w:val="2"/>
      <w:sz w:val="24"/>
      <w:szCs w:val="26"/>
      <w14:ligatures w14:val="standardContextual"/>
    </w:rPr>
  </w:style>
  <w:style w:type="paragraph" w:styleId="Heading3">
    <w:name w:val="heading 3"/>
    <w:basedOn w:val="Normal"/>
    <w:next w:val="BodyText"/>
    <w:link w:val="Heading3Char"/>
    <w:uiPriority w:val="9"/>
    <w:semiHidden/>
    <w:unhideWhenUsed/>
    <w:qFormat/>
    <w:pPr>
      <w:keepNext/>
      <w:spacing w:after="240"/>
      <w:outlineLvl w:val="2"/>
    </w:pPr>
    <w:rPr>
      <w:rFonts w:eastAsiaTheme="majorEastAsia" w:cstheme="majorBidi"/>
      <w:b/>
      <w:bCs/>
      <w:i/>
      <w:kern w:val="2"/>
      <w:sz w:val="24"/>
      <w14:ligatures w14:val="standardContextual"/>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kern w:val="2"/>
      <w:sz w:val="24"/>
      <w14:ligatures w14:val="standardContextual"/>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kern w:val="2"/>
      <w:sz w:val="24"/>
      <w:u w:val="single"/>
      <w14:ligatures w14:val="standardContextual"/>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kern w:val="2"/>
      <w:sz w:val="24"/>
      <w14:ligatures w14:val="standardContextual"/>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kern w:val="2"/>
      <w:sz w:val="24"/>
      <w:u w:val="single"/>
      <w14:ligatures w14:val="standardContextual"/>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kern w:val="2"/>
      <w:sz w:val="24"/>
      <w:szCs w:val="20"/>
      <w14:ligatures w14:val="standardContextual"/>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kern w:val="2"/>
      <w:sz w:val="24"/>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pPr>
    <w:rPr>
      <w:rFonts w:eastAsia="Times New Roman" w:cs="Times New Roman"/>
      <w:kern w:val="2"/>
      <w:sz w:val="24"/>
      <w14:ligatures w14:val="standardContextual"/>
    </w:rPr>
  </w:style>
  <w:style w:type="character" w:customStyle="1" w:styleId="BodyTextChar">
    <w:name w:val="Body Text Char"/>
    <w:basedOn w:val="DefaultParagraphFont"/>
    <w:link w:val="BodyTex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Cs/>
      <w:i/>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u w:val="single"/>
    </w:rPr>
  </w:style>
  <w:style w:type="character" w:customStyle="1" w:styleId="Heading6Char">
    <w:name w:val="Heading 6 Char"/>
    <w:basedOn w:val="DefaultParagraphFont"/>
    <w:link w:val="Heading6"/>
    <w:uiPriority w:val="9"/>
    <w:semiHidden/>
    <w:rPr>
      <w:rFonts w:ascii="Times New Roman" w:eastAsiaTheme="majorEastAsia" w:hAnsi="Times New Roman" w:cstheme="majorBidi"/>
      <w:b/>
      <w:i/>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heme="majorBidi"/>
      <w:iCs/>
      <w:sz w:val="24"/>
      <w:u w:val="single"/>
    </w:rPr>
  </w:style>
  <w:style w:type="character" w:customStyle="1" w:styleId="Heading8Char">
    <w:name w:val="Heading 8 Char"/>
    <w:basedOn w:val="DefaultParagraphFont"/>
    <w:link w:val="Heading8"/>
    <w:uiPriority w:val="9"/>
    <w:semiHidden/>
    <w:rPr>
      <w:rFonts w:ascii="Times New Roman" w:eastAsiaTheme="majorEastAsia" w:hAnsi="Times New Roman" w:cstheme="majorBidi"/>
      <w:i/>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heme="majorBidi"/>
      <w:iCs/>
      <w:sz w:val="24"/>
      <w:szCs w:val="20"/>
    </w:rPr>
  </w:style>
  <w:style w:type="numbering" w:styleId="ArticleSection">
    <w:name w:val="Outline List 3"/>
    <w:basedOn w:val="NoList"/>
    <w:uiPriority w:val="99"/>
    <w:semiHidden/>
    <w:unhideWhenUsed/>
    <w:pPr>
      <w:numPr>
        <w:numId w:val="4"/>
      </w:numPr>
    </w:p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rPr>
  </w:style>
  <w:style w:type="paragraph" w:styleId="BodyTextIndent">
    <w:name w:val="Body Text Indent"/>
    <w:basedOn w:val="Normal"/>
    <w:link w:val="BodyTextIndentChar"/>
    <w:unhideWhenUsed/>
    <w:pPr>
      <w:ind w:left="720"/>
    </w:pPr>
    <w:rPr>
      <w:kern w:val="2"/>
      <w:sz w:val="24"/>
      <w14:ligatures w14:val="standardContextual"/>
    </w:r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72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Caption">
    <w:name w:val="caption"/>
    <w:basedOn w:val="Normal"/>
    <w:next w:val="Normal"/>
    <w:uiPriority w:val="35"/>
    <w:semiHidden/>
    <w:unhideWhenUsed/>
    <w:qFormat/>
    <w:rPr>
      <w:b/>
      <w:bCs/>
      <w:kern w:val="2"/>
      <w:sz w:val="20"/>
      <w:szCs w:val="18"/>
      <w14:ligatures w14:val="standardContextual"/>
    </w:rPr>
  </w:style>
  <w:style w:type="paragraph" w:customStyle="1" w:styleId="Centered">
    <w:name w:val="Centered"/>
    <w:basedOn w:val="Normal"/>
    <w:next w:val="BodyText"/>
    <w:uiPriority w:val="2"/>
    <w:qFormat/>
    <w:pPr>
      <w:spacing w:after="240" w:line="240" w:lineRule="exact"/>
      <w:jc w:val="center"/>
    </w:pPr>
    <w:rPr>
      <w:kern w:val="2"/>
      <w:sz w:val="24"/>
      <w14:ligatures w14:val="standardContextual"/>
    </w:r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kern w:val="2"/>
      <w:sz w:val="24"/>
      <w14:ligatures w14:val="standardContextual"/>
    </w:rPr>
  </w:style>
  <w:style w:type="paragraph" w:styleId="Footer">
    <w:name w:val="footer"/>
    <w:basedOn w:val="Normal"/>
    <w:link w:val="FooterChar"/>
    <w:uiPriority w:val="99"/>
    <w:unhideWhenUsed/>
    <w:qFormat/>
    <w:pPr>
      <w:tabs>
        <w:tab w:val="center" w:pos="4680"/>
        <w:tab w:val="right" w:pos="9360"/>
      </w:tabs>
      <w:jc w:val="left"/>
    </w:pPr>
    <w:rPr>
      <w:kern w:val="2"/>
      <w:sz w:val="20"/>
      <w14:ligatures w14:val="standardContextual"/>
    </w:rPr>
  </w:style>
  <w:style w:type="paragraph" w:customStyle="1" w:styleId="DeliveryPhrase">
    <w:name w:val="Delivery Phrase"/>
    <w:basedOn w:val="Normal"/>
    <w:next w:val="BodyText"/>
    <w:uiPriority w:val="3"/>
    <w:qFormat/>
    <w:pPr>
      <w:spacing w:before="240" w:after="240"/>
    </w:pPr>
    <w:rPr>
      <w:b/>
      <w:caps/>
      <w:kern w:val="2"/>
      <w:sz w:val="24"/>
      <w14:ligatures w14:val="standardContextual"/>
    </w:rPr>
  </w:style>
  <w:style w:type="character" w:customStyle="1" w:styleId="FooterChar">
    <w:name w:val="Footer Char"/>
    <w:basedOn w:val="DefaultParagraphFont"/>
    <w:link w:val="Footer"/>
    <w:uiPriority w:val="99"/>
    <w:rPr>
      <w:rFonts w:ascii="Times New Roman" w:hAnsi="Times New Roman"/>
      <w:sz w:val="20"/>
    </w:rPr>
  </w:style>
  <w:style w:type="paragraph" w:styleId="FootnoteText">
    <w:name w:val="footnote text"/>
    <w:basedOn w:val="Normal"/>
    <w:link w:val="FootnoteTextChar"/>
    <w:uiPriority w:val="99"/>
    <w:semiHidden/>
    <w:unhideWhenUsed/>
    <w:pPr>
      <w:ind w:left="720" w:hanging="720"/>
    </w:pPr>
    <w:rPr>
      <w:kern w:val="2"/>
      <w:sz w:val="16"/>
      <w:szCs w:val="20"/>
      <w14:ligatures w14:val="standardContextual"/>
    </w:rPr>
  </w:style>
  <w:style w:type="character" w:customStyle="1" w:styleId="FootnoteTextChar">
    <w:name w:val="Footnote Text Char"/>
    <w:basedOn w:val="DefaultParagraphFont"/>
    <w:link w:val="FootnoteText"/>
    <w:uiPriority w:val="99"/>
    <w:semiHidden/>
    <w:rPr>
      <w:rFonts w:ascii="Times New Roman" w:hAnsi="Times New Roman"/>
      <w:sz w:val="16"/>
      <w:szCs w:val="20"/>
    </w:rPr>
  </w:style>
  <w:style w:type="paragraph" w:customStyle="1" w:styleId="LetterDate">
    <w:name w:val="Letter Date"/>
    <w:basedOn w:val="Normal"/>
    <w:next w:val="BodyText"/>
    <w:uiPriority w:val="11"/>
    <w:qFormat/>
    <w:rPr>
      <w:kern w:val="2"/>
      <w:sz w:val="24"/>
      <w14:ligatures w14:val="standardContextual"/>
    </w:rPr>
  </w:style>
  <w:style w:type="paragraph" w:customStyle="1" w:styleId="LetterClosing">
    <w:name w:val="LetterClosing"/>
    <w:basedOn w:val="Normal"/>
    <w:next w:val="Normal"/>
    <w:uiPriority w:val="11"/>
    <w:qFormat/>
    <w:rPr>
      <w:kern w:val="2"/>
      <w:sz w:val="24"/>
      <w14:ligatures w14:val="standardContextual"/>
    </w:rPr>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ascii="Times New Roman" w:hAnsi="Times New Roman"/>
      <w:sz w:val="24"/>
    </w:rPr>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rPr>
      <w:kern w:val="2"/>
      <w:sz w:val="24"/>
      <w14:ligatures w14:val="standardContextual"/>
    </w:rPr>
  </w:style>
  <w:style w:type="paragraph" w:styleId="Quote">
    <w:name w:val="Quote"/>
    <w:basedOn w:val="Normal"/>
    <w:next w:val="BodyText"/>
    <w:link w:val="QuoteChar"/>
    <w:uiPriority w:val="13"/>
    <w:qFormat/>
    <w:pPr>
      <w:spacing w:after="240"/>
      <w:ind w:left="720" w:right="720"/>
    </w:pPr>
    <w:rPr>
      <w:iCs/>
      <w:kern w:val="2"/>
      <w:sz w:val="24"/>
      <w14:ligatures w14:val="standardContextual"/>
    </w:rPr>
  </w:style>
  <w:style w:type="character" w:customStyle="1" w:styleId="QuoteChar">
    <w:name w:val="Quote Char"/>
    <w:basedOn w:val="DefaultParagraphFont"/>
    <w:link w:val="Quote"/>
    <w:uiPriority w:val="13"/>
    <w:rPr>
      <w:rFonts w:ascii="Times New Roman" w:hAnsi="Times New Roman"/>
      <w:iCs/>
      <w:sz w:val="24"/>
    </w:r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kern w:val="2"/>
      <w:sz w:val="24"/>
      <w14:ligatures w14:val="standardContextual"/>
    </w:rPr>
  </w:style>
  <w:style w:type="paragraph" w:styleId="TOC1">
    <w:name w:val="toc 1"/>
    <w:basedOn w:val="Normal"/>
    <w:next w:val="TOC2"/>
    <w:uiPriority w:val="39"/>
    <w:qFormat/>
    <w:pPr>
      <w:keepLines/>
      <w:tabs>
        <w:tab w:val="right" w:leader="dot" w:pos="9288"/>
      </w:tabs>
      <w:spacing w:after="120"/>
      <w:jc w:val="left"/>
    </w:pPr>
    <w:rPr>
      <w:b/>
      <w:caps/>
      <w:kern w:val="2"/>
      <w:sz w:val="24"/>
      <w14:ligatures w14:val="standardContextual"/>
    </w:rPr>
  </w:style>
  <w:style w:type="paragraph" w:styleId="TOC2">
    <w:name w:val="toc 2"/>
    <w:basedOn w:val="Normal"/>
    <w:next w:val="TOC3"/>
    <w:uiPriority w:val="39"/>
    <w:qFormat/>
    <w:pPr>
      <w:keepLines/>
      <w:tabs>
        <w:tab w:val="right" w:leader="dot" w:pos="9288"/>
      </w:tabs>
      <w:spacing w:after="120"/>
      <w:ind w:left="1080" w:right="720" w:hanging="720"/>
    </w:pPr>
    <w:rPr>
      <w:kern w:val="2"/>
      <w:sz w:val="24"/>
      <w14:ligatures w14:val="standardContextual"/>
    </w:rPr>
  </w:style>
  <w:style w:type="paragraph" w:styleId="TOC3">
    <w:name w:val="toc 3"/>
    <w:basedOn w:val="Normal"/>
    <w:next w:val="TOC4"/>
    <w:uiPriority w:val="39"/>
    <w:pPr>
      <w:keepLines/>
      <w:tabs>
        <w:tab w:val="right" w:leader="dot" w:pos="9288"/>
      </w:tabs>
      <w:spacing w:after="120"/>
      <w:ind w:left="1440" w:right="720" w:hanging="720"/>
    </w:pPr>
    <w:rPr>
      <w:kern w:val="2"/>
      <w:sz w:val="24"/>
      <w14:ligatures w14:val="standardContextual"/>
    </w:rPr>
  </w:style>
  <w:style w:type="paragraph" w:styleId="TOC4">
    <w:name w:val="toc 4"/>
    <w:basedOn w:val="Normal"/>
    <w:next w:val="Normal"/>
    <w:uiPriority w:val="39"/>
    <w:pPr>
      <w:keepLines/>
      <w:tabs>
        <w:tab w:val="right" w:leader="dot" w:pos="9288"/>
      </w:tabs>
      <w:spacing w:after="120"/>
      <w:ind w:left="1800" w:right="720" w:hanging="720"/>
    </w:pPr>
    <w:rPr>
      <w:kern w:val="2"/>
      <w:sz w:val="24"/>
      <w14:ligatures w14:val="standardContextual"/>
    </w:rPr>
  </w:style>
  <w:style w:type="paragraph" w:styleId="TOC8">
    <w:name w:val="toc 8"/>
    <w:basedOn w:val="Normal"/>
    <w:next w:val="Normal"/>
    <w:uiPriority w:val="39"/>
    <w:semiHidden/>
    <w:unhideWhenUsed/>
    <w:pPr>
      <w:spacing w:after="100"/>
      <w:ind w:left="1680"/>
    </w:pPr>
    <w:rPr>
      <w:kern w:val="2"/>
      <w:sz w:val="24"/>
      <w14:ligatures w14:val="standardContextual"/>
    </w:rPr>
  </w:style>
  <w:style w:type="paragraph" w:styleId="Header">
    <w:name w:val="header"/>
    <w:basedOn w:val="Normal"/>
    <w:link w:val="HeaderChar"/>
    <w:uiPriority w:val="99"/>
    <w:unhideWhenUsed/>
    <w:pPr>
      <w:tabs>
        <w:tab w:val="center" w:pos="4680"/>
        <w:tab w:val="right" w:pos="9360"/>
      </w:tabs>
    </w:pPr>
    <w:rPr>
      <w:kern w:val="2"/>
      <w:sz w:val="24"/>
      <w14:ligatures w14:val="standardContextual"/>
    </w:rPr>
  </w:style>
  <w:style w:type="character" w:customStyle="1" w:styleId="HeaderChar">
    <w:name w:val="Header Char"/>
    <w:basedOn w:val="DefaultParagraphFont"/>
    <w:link w:val="Header"/>
    <w:uiPriority w:val="99"/>
    <w:rPr>
      <w:rFonts w:ascii="Times New Roman" w:hAnsi="Times New Roman"/>
      <w:sz w:val="24"/>
    </w:rPr>
  </w:style>
  <w:style w:type="numbering" w:styleId="111111">
    <w:name w:val="Outline List 2"/>
    <w:basedOn w:val="NoList"/>
    <w:semiHidden/>
    <w:pPr>
      <w:numPr>
        <w:numId w:val="5"/>
      </w:numPr>
    </w:pPr>
  </w:style>
  <w:style w:type="numbering" w:styleId="1ai">
    <w:name w:val="Outline List 1"/>
    <w:basedOn w:val="NoList"/>
    <w:semiHidden/>
    <w:pPr>
      <w:numPr>
        <w:numId w:val="7"/>
      </w:numPr>
    </w:pPr>
  </w:style>
  <w:style w:type="paragraph" w:styleId="BodyText2">
    <w:name w:val="Body Text 2"/>
    <w:basedOn w:val="Normal"/>
    <w:link w:val="BodyText2Char"/>
    <w:semiHidden/>
    <w:pPr>
      <w:spacing w:after="240" w:line="480" w:lineRule="auto"/>
    </w:pPr>
    <w:rPr>
      <w:rFonts w:eastAsia="Times New Roman" w:cs="Times New Roman"/>
      <w:kern w:val="2"/>
      <w:sz w:val="24"/>
      <w14:ligatures w14:val="standardContextual"/>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paragraph" w:styleId="BodyText3">
    <w:name w:val="Body Text 3"/>
    <w:basedOn w:val="Normal"/>
    <w:link w:val="BodyText3Char"/>
    <w:semiHidden/>
    <w:pPr>
      <w:spacing w:after="240"/>
    </w:pPr>
    <w:rPr>
      <w:rFonts w:eastAsia="Times New Roman" w:cs="Times New Roman"/>
      <w:kern w:val="2"/>
      <w:sz w:val="16"/>
      <w:szCs w:val="16"/>
      <w14:ligatures w14:val="standardContextual"/>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Indent2">
    <w:name w:val="Body Text Indent 2"/>
    <w:basedOn w:val="Normal"/>
    <w:link w:val="BodyTextIndent2Char"/>
    <w:semiHidden/>
    <w:pPr>
      <w:spacing w:after="240" w:line="480" w:lineRule="auto"/>
      <w:ind w:left="720"/>
    </w:pPr>
    <w:rPr>
      <w:rFonts w:eastAsia="Times New Roman" w:cs="Times New Roman"/>
      <w:kern w:val="2"/>
      <w:sz w:val="24"/>
      <w14:ligatures w14:val="standardContextual"/>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paragraph" w:styleId="BodyTextIndent3">
    <w:name w:val="Body Text Indent 3"/>
    <w:basedOn w:val="Normal"/>
    <w:link w:val="BodyTextIndent3Char"/>
    <w:semiHidden/>
    <w:pPr>
      <w:spacing w:after="240"/>
      <w:ind w:left="720"/>
    </w:pPr>
    <w:rPr>
      <w:rFonts w:eastAsia="Times New Roman" w:cs="Times New Roman"/>
      <w:kern w:val="2"/>
      <w:sz w:val="16"/>
      <w:szCs w:val="16"/>
      <w14:ligatures w14:val="standardContextual"/>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paragraph" w:styleId="Index1">
    <w:name w:val="index 1"/>
    <w:basedOn w:val="Normal"/>
    <w:next w:val="Normal"/>
    <w:autoRedefine/>
    <w:uiPriority w:val="99"/>
    <w:semiHidden/>
    <w:unhideWhenUsed/>
    <w:pPr>
      <w:ind w:left="240" w:hanging="240"/>
    </w:pPr>
    <w:rPr>
      <w:kern w:val="2"/>
      <w:sz w:val="24"/>
      <w14:ligatures w14:val="standardContextual"/>
    </w:rPr>
  </w:style>
  <w:style w:type="paragraph" w:styleId="IndexHeading">
    <w:name w:val="index heading"/>
    <w:basedOn w:val="Normal"/>
    <w:next w:val="Index1"/>
    <w:uiPriority w:val="99"/>
    <w:semiHidden/>
    <w:unhideWhenUsed/>
    <w:rPr>
      <w:rFonts w:eastAsiaTheme="majorEastAsia" w:cstheme="majorBidi"/>
      <w:b/>
      <w:bCs/>
      <w:kern w:val="2"/>
      <w:sz w:val="24"/>
      <w14:ligatures w14:val="standardContextual"/>
    </w:rPr>
  </w:style>
  <w:style w:type="paragraph" w:styleId="TOC9">
    <w:name w:val="toc 9"/>
    <w:basedOn w:val="Normal"/>
    <w:next w:val="Normal"/>
    <w:uiPriority w:val="39"/>
    <w:semiHidden/>
    <w:unhideWhenUsed/>
    <w:pPr>
      <w:spacing w:after="100"/>
      <w:ind w:left="1920"/>
    </w:pPr>
    <w:rPr>
      <w:kern w:val="2"/>
      <w:sz w:val="24"/>
      <w14:ligatures w14:val="standardContextual"/>
    </w:rPr>
  </w:style>
  <w:style w:type="paragraph" w:styleId="TOC5">
    <w:name w:val="toc 5"/>
    <w:basedOn w:val="Normal"/>
    <w:next w:val="Normal"/>
    <w:uiPriority w:val="39"/>
    <w:semiHidden/>
    <w:unhideWhenUsed/>
    <w:pPr>
      <w:spacing w:after="100"/>
      <w:ind w:left="960"/>
    </w:pPr>
    <w:rPr>
      <w:kern w:val="2"/>
      <w:sz w:val="24"/>
      <w14:ligatures w14:val="standardContextual"/>
    </w:rPr>
  </w:style>
  <w:style w:type="paragraph" w:styleId="TOC6">
    <w:name w:val="toc 6"/>
    <w:basedOn w:val="Normal"/>
    <w:next w:val="Normal"/>
    <w:uiPriority w:val="39"/>
    <w:semiHidden/>
    <w:unhideWhenUsed/>
    <w:pPr>
      <w:spacing w:after="100"/>
      <w:ind w:left="1200"/>
    </w:pPr>
    <w:rPr>
      <w:kern w:val="2"/>
      <w:sz w:val="24"/>
      <w14:ligatures w14:val="standardContextual"/>
    </w:rPr>
  </w:style>
  <w:style w:type="paragraph" w:styleId="TOC7">
    <w:name w:val="toc 7"/>
    <w:basedOn w:val="Normal"/>
    <w:next w:val="Normal"/>
    <w:uiPriority w:val="39"/>
    <w:semiHidden/>
    <w:unhideWhenUsed/>
    <w:pPr>
      <w:spacing w:after="100"/>
      <w:ind w:left="1440"/>
    </w:pPr>
    <w:rPr>
      <w:kern w:val="2"/>
      <w:sz w:val="24"/>
      <w14:ligatures w14:val="standardContextual"/>
    </w:rPr>
  </w:style>
  <w:style w:type="paragraph" w:styleId="Title">
    <w:name w:val="Title"/>
    <w:basedOn w:val="Normal"/>
    <w:next w:val="Normal"/>
    <w:link w:val="TitleChar"/>
    <w:uiPriority w:val="14"/>
    <w:qFormat/>
    <w:rsid w:val="00321FE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4"/>
    <w:rsid w:val="00321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4"/>
    <w:semiHidden/>
    <w:qFormat/>
    <w:rsid w:val="00321FEB"/>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4"/>
    <w:semiHidden/>
    <w:rsid w:val="00321FEB"/>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semiHidden/>
    <w:unhideWhenUsed/>
    <w:qFormat/>
    <w:rsid w:val="00321FEB"/>
    <w:pPr>
      <w:ind w:left="720"/>
      <w:contextualSpacing/>
    </w:pPr>
    <w:rPr>
      <w:kern w:val="2"/>
      <w:sz w:val="24"/>
      <w14:ligatures w14:val="standardContextual"/>
    </w:rPr>
  </w:style>
  <w:style w:type="character" w:styleId="IntenseEmphasis">
    <w:name w:val="Intense Emphasis"/>
    <w:basedOn w:val="DefaultParagraphFont"/>
    <w:uiPriority w:val="21"/>
    <w:semiHidden/>
    <w:unhideWhenUsed/>
    <w:qFormat/>
    <w:rsid w:val="00321FEB"/>
    <w:rPr>
      <w:i/>
      <w:iCs/>
      <w:color w:val="365F91" w:themeColor="accent1" w:themeShade="BF"/>
    </w:rPr>
  </w:style>
  <w:style w:type="paragraph" w:styleId="IntenseQuote">
    <w:name w:val="Intense Quote"/>
    <w:basedOn w:val="Normal"/>
    <w:next w:val="Normal"/>
    <w:link w:val="IntenseQuoteChar"/>
    <w:uiPriority w:val="30"/>
    <w:semiHidden/>
    <w:unhideWhenUsed/>
    <w:qFormat/>
    <w:rsid w:val="00321FE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kern w:val="2"/>
      <w:sz w:val="24"/>
      <w14:ligatures w14:val="standardContextual"/>
    </w:rPr>
  </w:style>
  <w:style w:type="character" w:customStyle="1" w:styleId="IntenseQuoteChar">
    <w:name w:val="Intense Quote Char"/>
    <w:basedOn w:val="DefaultParagraphFont"/>
    <w:link w:val="IntenseQuote"/>
    <w:uiPriority w:val="30"/>
    <w:semiHidden/>
    <w:rsid w:val="00321FEB"/>
    <w:rPr>
      <w:i/>
      <w:iCs/>
      <w:color w:val="365F91" w:themeColor="accent1" w:themeShade="BF"/>
    </w:rPr>
  </w:style>
  <w:style w:type="character" w:styleId="IntenseReference">
    <w:name w:val="Intense Reference"/>
    <w:basedOn w:val="DefaultParagraphFont"/>
    <w:uiPriority w:val="32"/>
    <w:semiHidden/>
    <w:unhideWhenUsed/>
    <w:qFormat/>
    <w:rsid w:val="00321FEB"/>
    <w:rPr>
      <w:b/>
      <w:bCs/>
      <w:smallCaps/>
      <w:color w:val="365F91" w:themeColor="accent1" w:themeShade="BF"/>
      <w:spacing w:val="5"/>
    </w:rPr>
  </w:style>
  <w:style w:type="table" w:styleId="TableGrid">
    <w:name w:val="Table Grid"/>
    <w:aliases w:val="Golder_Table"/>
    <w:basedOn w:val="TableNormal"/>
    <w:rsid w:val="00321FEB"/>
    <w:pPr>
      <w:widowControl w:val="0"/>
      <w:autoSpaceDE w:val="0"/>
      <w:autoSpaceDN w:val="0"/>
      <w:spacing w:after="0"/>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21FEB"/>
    <w:rPr>
      <w:color w:val="0000FF" w:themeColor="hyperlink"/>
      <w:u w:val="single"/>
    </w:rPr>
  </w:style>
  <w:style w:type="paragraph" w:customStyle="1" w:styleId="MacPacTrailer">
    <w:name w:val="MacPac Trailer"/>
    <w:rsid w:val="003F7F1B"/>
    <w:pPr>
      <w:widowControl w:val="0"/>
      <w:spacing w:after="0" w:line="200" w:lineRule="exact"/>
    </w:pPr>
    <w:rPr>
      <w:rFonts w:eastAsia="Times New Roman" w:cs="Times New Roman"/>
      <w:kern w:val="0"/>
      <w:sz w:val="16"/>
      <w:szCs w:val="22"/>
      <w14:ligatures w14:val="none"/>
    </w:rPr>
  </w:style>
  <w:style w:type="character" w:styleId="PlaceholderText">
    <w:name w:val="Placeholder Text"/>
    <w:basedOn w:val="DefaultParagraphFont"/>
    <w:uiPriority w:val="99"/>
    <w:semiHidden/>
    <w:rsid w:val="00BE6075"/>
    <w:rPr>
      <w:color w:val="666666"/>
    </w:rPr>
  </w:style>
  <w:style w:type="paragraph" w:styleId="Revision">
    <w:name w:val="Revision"/>
    <w:hidden/>
    <w:uiPriority w:val="99"/>
    <w:semiHidden/>
    <w:rsid w:val="009974CB"/>
    <w:pPr>
      <w:spacing w:after="0"/>
    </w:pPr>
    <w:rPr>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6932">
      <w:bodyDiv w:val="1"/>
      <w:marLeft w:val="0"/>
      <w:marRight w:val="0"/>
      <w:marTop w:val="0"/>
      <w:marBottom w:val="0"/>
      <w:divBdr>
        <w:top w:val="none" w:sz="0" w:space="0" w:color="auto"/>
        <w:left w:val="none" w:sz="0" w:space="0" w:color="auto"/>
        <w:bottom w:val="none" w:sz="0" w:space="0" w:color="auto"/>
        <w:right w:val="none" w:sz="0" w:space="0" w:color="auto"/>
      </w:divBdr>
    </w:div>
    <w:div w:id="37123864">
      <w:bodyDiv w:val="1"/>
      <w:marLeft w:val="0"/>
      <w:marRight w:val="0"/>
      <w:marTop w:val="0"/>
      <w:marBottom w:val="0"/>
      <w:divBdr>
        <w:top w:val="none" w:sz="0" w:space="0" w:color="auto"/>
        <w:left w:val="none" w:sz="0" w:space="0" w:color="auto"/>
        <w:bottom w:val="none" w:sz="0" w:space="0" w:color="auto"/>
        <w:right w:val="none" w:sz="0" w:space="0" w:color="auto"/>
      </w:divBdr>
    </w:div>
    <w:div w:id="429275416">
      <w:bodyDiv w:val="1"/>
      <w:marLeft w:val="0"/>
      <w:marRight w:val="0"/>
      <w:marTop w:val="0"/>
      <w:marBottom w:val="0"/>
      <w:divBdr>
        <w:top w:val="none" w:sz="0" w:space="0" w:color="auto"/>
        <w:left w:val="none" w:sz="0" w:space="0" w:color="auto"/>
        <w:bottom w:val="none" w:sz="0" w:space="0" w:color="auto"/>
        <w:right w:val="none" w:sz="0" w:space="0" w:color="auto"/>
      </w:divBdr>
    </w:div>
    <w:div w:id="478695042">
      <w:bodyDiv w:val="1"/>
      <w:marLeft w:val="0"/>
      <w:marRight w:val="0"/>
      <w:marTop w:val="0"/>
      <w:marBottom w:val="0"/>
      <w:divBdr>
        <w:top w:val="none" w:sz="0" w:space="0" w:color="auto"/>
        <w:left w:val="none" w:sz="0" w:space="0" w:color="auto"/>
        <w:bottom w:val="none" w:sz="0" w:space="0" w:color="auto"/>
        <w:right w:val="none" w:sz="0" w:space="0" w:color="auto"/>
      </w:divBdr>
    </w:div>
    <w:div w:id="836843708">
      <w:bodyDiv w:val="1"/>
      <w:marLeft w:val="0"/>
      <w:marRight w:val="0"/>
      <w:marTop w:val="0"/>
      <w:marBottom w:val="0"/>
      <w:divBdr>
        <w:top w:val="none" w:sz="0" w:space="0" w:color="auto"/>
        <w:left w:val="none" w:sz="0" w:space="0" w:color="auto"/>
        <w:bottom w:val="none" w:sz="0" w:space="0" w:color="auto"/>
        <w:right w:val="none" w:sz="0" w:space="0" w:color="auto"/>
      </w:divBdr>
    </w:div>
    <w:div w:id="1094476849">
      <w:bodyDiv w:val="1"/>
      <w:marLeft w:val="0"/>
      <w:marRight w:val="0"/>
      <w:marTop w:val="0"/>
      <w:marBottom w:val="0"/>
      <w:divBdr>
        <w:top w:val="none" w:sz="0" w:space="0" w:color="auto"/>
        <w:left w:val="none" w:sz="0" w:space="0" w:color="auto"/>
        <w:bottom w:val="none" w:sz="0" w:space="0" w:color="auto"/>
        <w:right w:val="none" w:sz="0" w:space="0" w:color="auto"/>
      </w:divBdr>
    </w:div>
    <w:div w:id="1103261858">
      <w:bodyDiv w:val="1"/>
      <w:marLeft w:val="0"/>
      <w:marRight w:val="0"/>
      <w:marTop w:val="0"/>
      <w:marBottom w:val="0"/>
      <w:divBdr>
        <w:top w:val="none" w:sz="0" w:space="0" w:color="auto"/>
        <w:left w:val="none" w:sz="0" w:space="0" w:color="auto"/>
        <w:bottom w:val="none" w:sz="0" w:space="0" w:color="auto"/>
        <w:right w:val="none" w:sz="0" w:space="0" w:color="auto"/>
      </w:divBdr>
    </w:div>
    <w:div w:id="1306474587">
      <w:bodyDiv w:val="1"/>
      <w:marLeft w:val="0"/>
      <w:marRight w:val="0"/>
      <w:marTop w:val="0"/>
      <w:marBottom w:val="0"/>
      <w:divBdr>
        <w:top w:val="none" w:sz="0" w:space="0" w:color="auto"/>
        <w:left w:val="none" w:sz="0" w:space="0" w:color="auto"/>
        <w:bottom w:val="none" w:sz="0" w:space="0" w:color="auto"/>
        <w:right w:val="none" w:sz="0" w:space="0" w:color="auto"/>
      </w:divBdr>
    </w:div>
    <w:div w:id="137326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culicometal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WSLegal!40826178.3</documentid>
  <senderid>GALB</senderid>
  <senderemail>GALB@BENNETTJONES.COM</senderemail>
  <lastmodified>2025-04-22T17:57:00.0000000-04:00</lastmodified>
  <database>WSLegal</database>
</properties>
</file>

<file path=customXml/itemProps1.xml><?xml version="1.0" encoding="utf-8"?>
<ds:datastoreItem xmlns:ds="http://schemas.openxmlformats.org/officeDocument/2006/customXml" ds:itemID="{140008F6-C455-4F7E-8321-0AB297BBF57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1542</Words>
  <Characters>8795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Buchanan</cp:lastModifiedBy>
  <cp:revision>2</cp:revision>
  <cp:lastPrinted>1900-01-01T05:00:00Z</cp:lastPrinted>
  <dcterms:created xsi:type="dcterms:W3CDTF">2025-04-24T09:31:00Z</dcterms:created>
  <dcterms:modified xsi:type="dcterms:W3CDTF">2025-04-24T09:31:00Z</dcterms:modified>
</cp:coreProperties>
</file>